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FF403" w14:textId="6C763635" w:rsidR="002C57B6" w:rsidRDefault="002C57B6" w:rsidP="002C57B6">
      <w:pPr>
        <w:jc w:val="both"/>
        <w:rPr>
          <w:b/>
          <w:bCs/>
          <w:lang w:val="pt-BR"/>
        </w:rPr>
      </w:pPr>
      <w:r w:rsidRPr="002C57B6">
        <w:rPr>
          <w:b/>
          <w:bCs/>
          <w:lang w:val="pt-BR"/>
        </w:rPr>
        <w:t xml:space="preserve">INSTRUÇÃO DE VOTO RELATIVA À </w:t>
      </w:r>
      <w:r w:rsidR="00B63664" w:rsidRPr="00B63664">
        <w:rPr>
          <w:b/>
          <w:bCs/>
          <w:lang w:val="pt-BR"/>
        </w:rPr>
        <w:t xml:space="preserve">ASSEMBLEIA ESPECIAL DE TITULARES DE CERTIFICADOS DE RECEBÍVEIS </w:t>
      </w:r>
      <w:r w:rsidR="00B63664" w:rsidRPr="00997FBC">
        <w:rPr>
          <w:b/>
          <w:bCs/>
          <w:lang w:val="pt-BR"/>
        </w:rPr>
        <w:t>DO AGRONEGÓCIO</w:t>
      </w:r>
      <w:r w:rsidR="00B63664" w:rsidRPr="00B63664">
        <w:rPr>
          <w:b/>
          <w:bCs/>
          <w:lang w:val="pt-BR"/>
        </w:rPr>
        <w:t xml:space="preserve"> DA</w:t>
      </w:r>
      <w:r w:rsidR="007E5AED">
        <w:rPr>
          <w:b/>
          <w:bCs/>
          <w:lang w:val="pt-BR"/>
        </w:rPr>
        <w:t>(S)</w:t>
      </w:r>
      <w:r w:rsidR="00997FBC">
        <w:rPr>
          <w:b/>
          <w:bCs/>
          <w:lang w:val="pt-BR"/>
        </w:rPr>
        <w:t xml:space="preserve"> </w:t>
      </w:r>
      <w:r w:rsidR="00B63664" w:rsidRPr="00B63664">
        <w:rPr>
          <w:b/>
          <w:bCs/>
          <w:lang w:val="pt-BR"/>
        </w:rPr>
        <w:t>SÉRIE</w:t>
      </w:r>
      <w:r w:rsidR="00997FBC">
        <w:rPr>
          <w:b/>
          <w:bCs/>
          <w:lang w:val="pt-BR"/>
        </w:rPr>
        <w:t xml:space="preserve"> ÚNICA</w:t>
      </w:r>
      <w:r w:rsidR="00B63664" w:rsidRPr="00B63664">
        <w:rPr>
          <w:b/>
          <w:bCs/>
          <w:lang w:val="pt-BR"/>
        </w:rPr>
        <w:t xml:space="preserve"> DA </w:t>
      </w:r>
      <w:r w:rsidR="00FE3144" w:rsidRPr="00FE3144">
        <w:rPr>
          <w:b/>
          <w:bCs/>
          <w:lang w:val="pt-BR"/>
        </w:rPr>
        <w:t>32</w:t>
      </w:r>
      <w:r w:rsidR="00B63664" w:rsidRPr="00FE3144">
        <w:rPr>
          <w:b/>
          <w:bCs/>
          <w:lang w:val="pt-BR"/>
        </w:rPr>
        <w:t>ª</w:t>
      </w:r>
      <w:r w:rsidR="00B63664" w:rsidRPr="00B63664">
        <w:rPr>
          <w:b/>
          <w:bCs/>
          <w:lang w:val="pt-BR"/>
        </w:rPr>
        <w:t xml:space="preserve"> EMISSÃO DA CANAL COMPANHIA DE SECURITIZAÇÃO</w:t>
      </w:r>
      <w:r>
        <w:rPr>
          <w:b/>
          <w:bCs/>
          <w:lang w:val="pt-BR"/>
        </w:rPr>
        <w:t xml:space="preserve">, A SER REALIZADA EM </w:t>
      </w:r>
      <w:r w:rsidR="004507F2">
        <w:rPr>
          <w:b/>
          <w:bCs/>
          <w:lang w:val="pt-BR"/>
        </w:rPr>
        <w:t>18</w:t>
      </w:r>
      <w:r w:rsidR="00EB10AD">
        <w:rPr>
          <w:b/>
          <w:bCs/>
          <w:lang w:val="pt-BR"/>
        </w:rPr>
        <w:t xml:space="preserve"> DE </w:t>
      </w:r>
      <w:r w:rsidR="004507F2">
        <w:rPr>
          <w:b/>
          <w:bCs/>
          <w:lang w:val="pt-BR"/>
        </w:rPr>
        <w:t xml:space="preserve">OUTUBRO </w:t>
      </w:r>
      <w:r w:rsidR="00EB10AD">
        <w:rPr>
          <w:b/>
          <w:bCs/>
          <w:lang w:val="pt-BR"/>
        </w:rPr>
        <w:t>DE 2024</w:t>
      </w:r>
      <w:r>
        <w:rPr>
          <w:b/>
          <w:bCs/>
          <w:lang w:val="pt-BR"/>
        </w:rPr>
        <w:t>.</w:t>
      </w:r>
    </w:p>
    <w:tbl>
      <w:tblPr>
        <w:tblStyle w:val="Tabelacomgrade"/>
        <w:tblW w:w="0" w:type="auto"/>
        <w:tblInd w:w="-5" w:type="dxa"/>
        <w:tblLook w:val="04A0" w:firstRow="1" w:lastRow="0" w:firstColumn="1" w:lastColumn="0" w:noHBand="0" w:noVBand="1"/>
      </w:tblPr>
      <w:tblGrid>
        <w:gridCol w:w="2552"/>
        <w:gridCol w:w="6803"/>
      </w:tblGrid>
      <w:tr w:rsidR="002C57B6" w:rsidRPr="009151C5" w14:paraId="3449C156" w14:textId="77777777" w:rsidTr="00812513">
        <w:tc>
          <w:tcPr>
            <w:tcW w:w="9355" w:type="dxa"/>
            <w:gridSpan w:val="2"/>
          </w:tcPr>
          <w:p w14:paraId="630316D9" w14:textId="299D8441" w:rsidR="002C57B6" w:rsidRPr="00576FC8" w:rsidRDefault="002C57B6" w:rsidP="002C57B6">
            <w:pPr>
              <w:jc w:val="both"/>
              <w:rPr>
                <w:lang w:val="pt-BR"/>
              </w:rPr>
            </w:pPr>
            <w:r>
              <w:rPr>
                <w:lang w:val="pt-BR"/>
              </w:rPr>
              <w:t xml:space="preserve">Conforme estabelecido pela Resolução CVM </w:t>
            </w:r>
            <w:r w:rsidR="00742EF9">
              <w:rPr>
                <w:lang w:val="pt-BR"/>
              </w:rPr>
              <w:t>60</w:t>
            </w:r>
            <w:r>
              <w:rPr>
                <w:lang w:val="pt-BR"/>
              </w:rPr>
              <w:t xml:space="preserve">, a Emissora adotará o sistema de votação à distância por ocasião da </w:t>
            </w:r>
            <w:r w:rsidR="002D074F">
              <w:rPr>
                <w:lang w:val="pt-BR"/>
              </w:rPr>
              <w:t xml:space="preserve">Assembleia Especial de Investidores dos </w:t>
            </w:r>
            <w:r w:rsidR="00B63664">
              <w:rPr>
                <w:lang w:val="pt-BR"/>
              </w:rPr>
              <w:t>Certificados</w:t>
            </w:r>
            <w:r w:rsidR="00B63664" w:rsidRPr="00B63664">
              <w:rPr>
                <w:lang w:val="pt-BR"/>
              </w:rPr>
              <w:t xml:space="preserve"> </w:t>
            </w:r>
            <w:r w:rsidR="00B63664">
              <w:rPr>
                <w:lang w:val="pt-BR"/>
              </w:rPr>
              <w:t>de</w:t>
            </w:r>
            <w:r w:rsidR="00B63664" w:rsidRPr="00B63664">
              <w:rPr>
                <w:lang w:val="pt-BR"/>
              </w:rPr>
              <w:t xml:space="preserve"> R</w:t>
            </w:r>
            <w:r w:rsidR="00B63664">
              <w:rPr>
                <w:lang w:val="pt-BR"/>
              </w:rPr>
              <w:t>ecebíveis</w:t>
            </w:r>
            <w:r w:rsidR="00E535BF">
              <w:rPr>
                <w:lang w:val="pt-BR"/>
              </w:rPr>
              <w:t xml:space="preserve"> </w:t>
            </w:r>
            <w:r w:rsidR="00B63664" w:rsidRPr="00E535BF">
              <w:rPr>
                <w:lang w:val="pt-BR"/>
              </w:rPr>
              <w:t>do Agronegócio</w:t>
            </w:r>
            <w:r w:rsidR="00B63664" w:rsidRPr="00B63664">
              <w:rPr>
                <w:lang w:val="pt-BR"/>
              </w:rPr>
              <w:t xml:space="preserve"> </w:t>
            </w:r>
            <w:r w:rsidR="00B63664">
              <w:rPr>
                <w:lang w:val="pt-BR"/>
              </w:rPr>
              <w:t>da</w:t>
            </w:r>
            <w:r w:rsidR="007E5AED">
              <w:rPr>
                <w:lang w:val="pt-BR"/>
              </w:rPr>
              <w:t>(</w:t>
            </w:r>
            <w:r w:rsidR="00056A47">
              <w:rPr>
                <w:lang w:val="pt-BR"/>
              </w:rPr>
              <w:t>s)</w:t>
            </w:r>
            <w:r w:rsidR="00056A47" w:rsidRPr="00B63664">
              <w:rPr>
                <w:lang w:val="pt-BR"/>
              </w:rPr>
              <w:t xml:space="preserve"> Série</w:t>
            </w:r>
            <w:r w:rsidR="00E535BF">
              <w:rPr>
                <w:lang w:val="pt-BR"/>
              </w:rPr>
              <w:t xml:space="preserve"> Única</w:t>
            </w:r>
            <w:r w:rsidR="00B63664" w:rsidRPr="00B63664">
              <w:rPr>
                <w:lang w:val="pt-BR"/>
              </w:rPr>
              <w:t xml:space="preserve"> </w:t>
            </w:r>
            <w:r w:rsidR="00B63664">
              <w:rPr>
                <w:lang w:val="pt-BR"/>
              </w:rPr>
              <w:t>da</w:t>
            </w:r>
            <w:r w:rsidR="00B63664" w:rsidRPr="00B63664">
              <w:rPr>
                <w:lang w:val="pt-BR"/>
              </w:rPr>
              <w:t xml:space="preserve"> </w:t>
            </w:r>
            <w:r w:rsidR="00056A47" w:rsidRPr="00056A47">
              <w:rPr>
                <w:lang w:val="pt-BR"/>
              </w:rPr>
              <w:t>32</w:t>
            </w:r>
            <w:r w:rsidR="00B63664" w:rsidRPr="00056A47">
              <w:rPr>
                <w:lang w:val="pt-BR"/>
              </w:rPr>
              <w:t>ª</w:t>
            </w:r>
            <w:r w:rsidR="00B63664" w:rsidRPr="00B63664">
              <w:rPr>
                <w:lang w:val="pt-BR"/>
              </w:rPr>
              <w:t xml:space="preserve"> </w:t>
            </w:r>
            <w:r w:rsidR="00B63664">
              <w:rPr>
                <w:lang w:val="pt-BR"/>
              </w:rPr>
              <w:t xml:space="preserve">Emissão </w:t>
            </w:r>
            <w:r w:rsidR="00AA1C52" w:rsidRPr="00AA1C52">
              <w:rPr>
                <w:lang w:val="pt-BR"/>
              </w:rPr>
              <w:t>da</w:t>
            </w:r>
            <w:r>
              <w:rPr>
                <w:lang w:val="pt-BR"/>
              </w:rPr>
              <w:t xml:space="preserve"> </w:t>
            </w:r>
            <w:r w:rsidR="00C60F3F">
              <w:rPr>
                <w:lang w:val="pt-BR"/>
              </w:rPr>
              <w:t>Canal Companhia de Securitização</w:t>
            </w:r>
            <w:r>
              <w:rPr>
                <w:lang w:val="pt-BR"/>
              </w:rPr>
              <w:t xml:space="preserve">, a ser realizada em </w:t>
            </w:r>
            <w:r w:rsidR="004507F2">
              <w:rPr>
                <w:lang w:val="pt-BR"/>
              </w:rPr>
              <w:t>18</w:t>
            </w:r>
            <w:r w:rsidR="00C60F3F">
              <w:rPr>
                <w:lang w:val="pt-BR"/>
              </w:rPr>
              <w:t xml:space="preserve"> de </w:t>
            </w:r>
            <w:r w:rsidR="004507F2">
              <w:rPr>
                <w:lang w:val="pt-BR"/>
              </w:rPr>
              <w:t>outubro</w:t>
            </w:r>
            <w:r w:rsidR="0085583C">
              <w:rPr>
                <w:lang w:val="pt-BR"/>
              </w:rPr>
              <w:t xml:space="preserve"> de 202</w:t>
            </w:r>
            <w:r w:rsidR="00DF625A">
              <w:rPr>
                <w:lang w:val="pt-BR"/>
              </w:rPr>
              <w:t>4</w:t>
            </w:r>
            <w:r>
              <w:rPr>
                <w:lang w:val="pt-BR"/>
              </w:rPr>
              <w:t xml:space="preserve">, </w:t>
            </w:r>
            <w:r w:rsidR="00596F05">
              <w:rPr>
                <w:lang w:val="pt-BR"/>
              </w:rPr>
              <w:t>às</w:t>
            </w:r>
            <w:r w:rsidR="00056A47">
              <w:rPr>
                <w:lang w:val="pt-BR"/>
              </w:rPr>
              <w:t xml:space="preserve"> 15:00</w:t>
            </w:r>
            <w:r w:rsidR="00596F05">
              <w:rPr>
                <w:lang w:val="pt-BR"/>
              </w:rPr>
              <w:t xml:space="preserve">, </w:t>
            </w:r>
            <w:r>
              <w:rPr>
                <w:lang w:val="pt-BR"/>
              </w:rPr>
              <w:t xml:space="preserve">em </w:t>
            </w:r>
            <w:r w:rsidR="00F911BE">
              <w:rPr>
                <w:lang w:val="pt-BR"/>
              </w:rPr>
              <w:t>segunda</w:t>
            </w:r>
            <w:r>
              <w:rPr>
                <w:lang w:val="pt-BR"/>
              </w:rPr>
              <w:t xml:space="preserve"> convocação (“</w:t>
            </w:r>
            <w:r>
              <w:rPr>
                <w:u w:val="single"/>
                <w:lang w:val="pt-BR"/>
              </w:rPr>
              <w:t>Assembleia Geral</w:t>
            </w:r>
            <w:r>
              <w:rPr>
                <w:lang w:val="pt-BR"/>
              </w:rPr>
              <w:t xml:space="preserve">”). Desta forma, os Titulares de </w:t>
            </w:r>
            <w:r w:rsidR="00AA1C52" w:rsidRPr="00364DB5">
              <w:rPr>
                <w:lang w:val="pt-BR"/>
              </w:rPr>
              <w:t>CR</w:t>
            </w:r>
            <w:r w:rsidR="00DF625A" w:rsidRPr="00364DB5">
              <w:rPr>
                <w:lang w:val="pt-BR"/>
              </w:rPr>
              <w:t>A</w:t>
            </w:r>
            <w:r w:rsidR="005A2249">
              <w:rPr>
                <w:lang w:val="pt-BR"/>
              </w:rPr>
              <w:t xml:space="preserve">, com direito de voto, poderão encaminhar, a partir desta, suas instruções de voto em relação à matéria constante da Ordem do Dia da Assembleia Geral para: (i) o </w:t>
            </w:r>
            <w:r w:rsidR="00576FC8">
              <w:rPr>
                <w:lang w:val="pt-BR"/>
              </w:rPr>
              <w:t>d</w:t>
            </w:r>
            <w:r w:rsidR="005A2249">
              <w:rPr>
                <w:lang w:val="pt-BR"/>
              </w:rPr>
              <w:t xml:space="preserve">epartamento de </w:t>
            </w:r>
            <w:r w:rsidR="00576FC8">
              <w:rPr>
                <w:lang w:val="pt-BR"/>
              </w:rPr>
              <w:t>r</w:t>
            </w:r>
            <w:r w:rsidR="005A2249">
              <w:rPr>
                <w:lang w:val="pt-BR"/>
              </w:rPr>
              <w:t xml:space="preserve">elações com </w:t>
            </w:r>
            <w:r w:rsidR="00576FC8">
              <w:rPr>
                <w:lang w:val="pt-BR"/>
              </w:rPr>
              <w:t>i</w:t>
            </w:r>
            <w:r w:rsidR="005A2249">
              <w:rPr>
                <w:lang w:val="pt-BR"/>
              </w:rPr>
              <w:t>nvestidores da Emissora; e (ii) o Agente Fiduciário, conforme instruções indicadas no item a seguir</w:t>
            </w:r>
            <w:r w:rsidR="00576FC8">
              <w:rPr>
                <w:lang w:val="pt-BR"/>
              </w:rPr>
              <w:t xml:space="preserve"> (“</w:t>
            </w:r>
            <w:r w:rsidR="00576FC8">
              <w:rPr>
                <w:u w:val="single"/>
                <w:lang w:val="pt-BR"/>
              </w:rPr>
              <w:t>Instrução de Voto</w:t>
            </w:r>
            <w:r w:rsidR="00576FC8">
              <w:rPr>
                <w:lang w:val="pt-BR"/>
              </w:rPr>
              <w:t>”).</w:t>
            </w:r>
          </w:p>
          <w:p w14:paraId="29A6D176" w14:textId="77777777" w:rsidR="005A2249" w:rsidRDefault="005A2249" w:rsidP="002C57B6">
            <w:pPr>
              <w:jc w:val="both"/>
              <w:rPr>
                <w:lang w:val="pt-BR"/>
              </w:rPr>
            </w:pPr>
          </w:p>
          <w:p w14:paraId="7D6EEA3E" w14:textId="3C9F55C9" w:rsidR="00F11BB0" w:rsidRDefault="005A2249" w:rsidP="002C57B6">
            <w:pPr>
              <w:jc w:val="both"/>
              <w:rPr>
                <w:lang w:val="pt-BR"/>
              </w:rPr>
            </w:pPr>
            <w:r>
              <w:rPr>
                <w:lang w:val="pt-BR"/>
              </w:rPr>
              <w:t xml:space="preserve">A Instrução de Voto deverá ser completamente preenchida, datada e assinada, pelo Titular de </w:t>
            </w:r>
            <w:r w:rsidR="007E5AED" w:rsidRPr="00090D45">
              <w:rPr>
                <w:lang w:val="pt-BR"/>
              </w:rPr>
              <w:t>CRA</w:t>
            </w:r>
            <w:r>
              <w:rPr>
                <w:lang w:val="pt-BR"/>
              </w:rPr>
              <w:t>, ou por seu representante legal, nos termos do Edital de Convocação para a Assembleia Geral.</w:t>
            </w:r>
            <w:r w:rsidR="00F11BB0">
              <w:rPr>
                <w:lang w:val="pt-BR"/>
              </w:rPr>
              <w:t xml:space="preserve"> </w:t>
            </w:r>
          </w:p>
          <w:p w14:paraId="39969C0C" w14:textId="77777777" w:rsidR="00875424" w:rsidRDefault="00875424" w:rsidP="002C57B6">
            <w:pPr>
              <w:jc w:val="both"/>
              <w:rPr>
                <w:lang w:val="pt-BR"/>
              </w:rPr>
            </w:pPr>
          </w:p>
          <w:p w14:paraId="45A05E2D" w14:textId="520270F9" w:rsidR="00F11BB0" w:rsidRPr="002C57B6" w:rsidRDefault="00F11BB0" w:rsidP="002C57B6">
            <w:pPr>
              <w:jc w:val="both"/>
              <w:rPr>
                <w:lang w:val="pt-BR"/>
              </w:rPr>
            </w:pPr>
            <w:r>
              <w:rPr>
                <w:lang w:val="pt-BR"/>
              </w:rPr>
              <w:t xml:space="preserve">A Instrução de Voto que não estiver de acordo com as especificações citadas e não for retificado </w:t>
            </w:r>
            <w:r w:rsidR="00B63664">
              <w:rPr>
                <w:lang w:val="pt-BR"/>
              </w:rPr>
              <w:t xml:space="preserve">em tempo hábil </w:t>
            </w:r>
            <w:r>
              <w:rPr>
                <w:lang w:val="pt-BR"/>
              </w:rPr>
              <w:t>não será considerado válido e, consequentemente, não será realizado o cômputo dos votos nele contidos.</w:t>
            </w:r>
          </w:p>
        </w:tc>
      </w:tr>
      <w:tr w:rsidR="002C57B6" w:rsidRPr="009151C5" w14:paraId="4281AFF8" w14:textId="77777777" w:rsidTr="00812513">
        <w:tc>
          <w:tcPr>
            <w:tcW w:w="9355" w:type="dxa"/>
            <w:gridSpan w:val="2"/>
          </w:tcPr>
          <w:p w14:paraId="435873CB" w14:textId="77777777" w:rsidR="002C57B6" w:rsidRDefault="008973D4" w:rsidP="002C57B6">
            <w:pPr>
              <w:jc w:val="both"/>
              <w:rPr>
                <w:b/>
                <w:bCs/>
                <w:lang w:val="pt-BR"/>
              </w:rPr>
            </w:pPr>
            <w:r>
              <w:rPr>
                <w:b/>
                <w:bCs/>
                <w:lang w:val="pt-BR"/>
              </w:rPr>
              <w:t xml:space="preserve">Orientações de Entrega: </w:t>
            </w:r>
          </w:p>
          <w:p w14:paraId="5FA97137" w14:textId="77777777" w:rsidR="008973D4" w:rsidRDefault="008973D4" w:rsidP="002C57B6">
            <w:pPr>
              <w:jc w:val="both"/>
              <w:rPr>
                <w:b/>
                <w:bCs/>
                <w:lang w:val="pt-BR"/>
              </w:rPr>
            </w:pPr>
          </w:p>
          <w:p w14:paraId="0C8AC3AE" w14:textId="491268E0" w:rsidR="008973D4" w:rsidRPr="008973D4" w:rsidRDefault="008973D4" w:rsidP="002C57B6">
            <w:pPr>
              <w:jc w:val="both"/>
              <w:rPr>
                <w:lang w:val="pt-BR"/>
              </w:rPr>
            </w:pPr>
            <w:r>
              <w:rPr>
                <w:lang w:val="pt-BR"/>
              </w:rPr>
              <w:t xml:space="preserve">A Instrução de Voto poderá ser encaminhada exclusivamente por e-mail: (i) diretamente à Emissora, aos cuidados do </w:t>
            </w:r>
            <w:r w:rsidR="00576FC8">
              <w:rPr>
                <w:lang w:val="pt-BR"/>
              </w:rPr>
              <w:t>d</w:t>
            </w:r>
            <w:r>
              <w:rPr>
                <w:lang w:val="pt-BR"/>
              </w:rPr>
              <w:t xml:space="preserve">epartamento de </w:t>
            </w:r>
            <w:r w:rsidR="00576FC8">
              <w:rPr>
                <w:lang w:val="pt-BR"/>
              </w:rPr>
              <w:t>r</w:t>
            </w:r>
            <w:r>
              <w:rPr>
                <w:lang w:val="pt-BR"/>
              </w:rPr>
              <w:t xml:space="preserve">elações com </w:t>
            </w:r>
            <w:r w:rsidR="00576FC8">
              <w:rPr>
                <w:lang w:val="pt-BR"/>
              </w:rPr>
              <w:t>i</w:t>
            </w:r>
            <w:r>
              <w:rPr>
                <w:lang w:val="pt-BR"/>
              </w:rPr>
              <w:t xml:space="preserve">nvestidores, encaminhado para </w:t>
            </w:r>
            <w:hyperlink r:id="rId10" w:history="1">
              <w:r w:rsidR="00CD30F5" w:rsidRPr="003C10EC">
                <w:rPr>
                  <w:rStyle w:val="Hyperlink"/>
                  <w:lang w:val="pt-BR"/>
                </w:rPr>
                <w:t>juridico@canalsecuritizadora.com.br</w:t>
              </w:r>
            </w:hyperlink>
            <w:r w:rsidR="00CD30F5">
              <w:rPr>
                <w:lang w:val="pt-BR"/>
              </w:rPr>
              <w:t xml:space="preserve">; </w:t>
            </w:r>
            <w:r>
              <w:rPr>
                <w:lang w:val="pt-BR"/>
              </w:rPr>
              <w:t xml:space="preserve">e (ii) ao Agente Fiduciário, neste caso por correio eletrônico encaminhado para </w:t>
            </w:r>
            <w:r w:rsidR="00D21E0D" w:rsidRPr="00D21E0D">
              <w:rPr>
                <w:rStyle w:val="Hyperlink"/>
                <w:lang w:val="pt-BR"/>
              </w:rPr>
              <w:t>assembleias@pentagonotrustee.com.br</w:t>
            </w:r>
            <w:r>
              <w:rPr>
                <w:lang w:val="pt-BR"/>
              </w:rPr>
              <w:t xml:space="preserve">. </w:t>
            </w:r>
          </w:p>
        </w:tc>
      </w:tr>
      <w:tr w:rsidR="002C57B6" w:rsidRPr="00D06F51" w14:paraId="71E5216B" w14:textId="77777777" w:rsidTr="00812513">
        <w:tc>
          <w:tcPr>
            <w:tcW w:w="9355" w:type="dxa"/>
            <w:gridSpan w:val="2"/>
          </w:tcPr>
          <w:p w14:paraId="2B246942" w14:textId="488EFDE3" w:rsidR="00EC6BA9" w:rsidRPr="00EC5B99" w:rsidRDefault="00EC535D" w:rsidP="00EC6BA9">
            <w:pPr>
              <w:autoSpaceDE w:val="0"/>
              <w:autoSpaceDN w:val="0"/>
              <w:adjustRightInd w:val="0"/>
              <w:rPr>
                <w:rFonts w:ascii="Calibri" w:hAnsi="Calibri" w:cs="Calibri"/>
                <w:b/>
                <w:bCs/>
                <w:color w:val="000000"/>
                <w:lang w:val="pt-BR"/>
              </w:rPr>
            </w:pPr>
            <w:r w:rsidRPr="00EC5B99">
              <w:rPr>
                <w:rFonts w:ascii="Calibri" w:hAnsi="Calibri" w:cs="Calibri"/>
                <w:b/>
                <w:bCs/>
                <w:color w:val="000000"/>
                <w:lang w:val="pt-BR"/>
              </w:rPr>
              <w:t>Deliberações:</w:t>
            </w:r>
          </w:p>
          <w:p w14:paraId="3A85078E" w14:textId="77777777" w:rsidR="00EC535D" w:rsidRPr="00EC535D" w:rsidRDefault="00EC535D" w:rsidP="00EC6BA9">
            <w:pPr>
              <w:autoSpaceDE w:val="0"/>
              <w:autoSpaceDN w:val="0"/>
              <w:adjustRightInd w:val="0"/>
              <w:rPr>
                <w:rFonts w:ascii="Calibri" w:hAnsi="Calibri" w:cs="Calibri"/>
                <w:b/>
                <w:bCs/>
                <w:color w:val="000000"/>
                <w:sz w:val="24"/>
                <w:szCs w:val="24"/>
                <w:lang w:val="pt-BR"/>
              </w:rPr>
            </w:pPr>
          </w:p>
          <w:p w14:paraId="1D9ADDBF" w14:textId="321C6B61" w:rsidR="00FB4205" w:rsidRPr="00FB4205" w:rsidRDefault="00FB4205" w:rsidP="00FB4205">
            <w:pPr>
              <w:pStyle w:val="PargrafodaLista"/>
              <w:numPr>
                <w:ilvl w:val="0"/>
                <w:numId w:val="13"/>
              </w:numPr>
              <w:jc w:val="both"/>
              <w:rPr>
                <w:lang w:val="pt-BR"/>
              </w:rPr>
            </w:pPr>
            <w:r w:rsidRPr="00FB4205">
              <w:rPr>
                <w:lang w:val="pt-BR"/>
              </w:rPr>
              <w:t>Em razão do potencial não pagamento da parcela referente aos Juros Remuneratórios da Cédula de Produto Rural com Liquidação Financeira Nº 01/2023 (“CPR-F”) previsto para 18 de setembro de 2024 e, consequentemente, dos CRA previsto para 20 de setembro de 2024 (“</w:t>
            </w:r>
            <w:r w:rsidRPr="009151C5">
              <w:rPr>
                <w:u w:val="single"/>
                <w:lang w:val="pt-BR"/>
              </w:rPr>
              <w:t>Juros Remuneratórios 09/2024</w:t>
            </w:r>
            <w:r w:rsidRPr="00FB4205">
              <w:rPr>
                <w:lang w:val="pt-BR"/>
              </w:rPr>
              <w:t>”), cujo respectivo descumprimento será verificado na data da AGT, aprovar a sustação dos efeitos do vencimento antecipado automático da CPF-R (conforme abaixo definida) e, consequentemente, do resgate antecipado dos CRA, nos termos das Cláusulas 8.1, item “(i)” da CPR-F e 7.2 do Termo de Securitização</w:t>
            </w:r>
            <w:r>
              <w:rPr>
                <w:lang w:val="pt-BR"/>
              </w:rPr>
              <w:t>.</w:t>
            </w:r>
          </w:p>
          <w:p w14:paraId="0DDFFF69" w14:textId="77777777" w:rsidR="00702771" w:rsidRPr="00EC6BA9" w:rsidRDefault="00702771" w:rsidP="00EC6BA9">
            <w:pPr>
              <w:jc w:val="both"/>
              <w:rPr>
                <w:lang w:val="pt-BR"/>
              </w:rPr>
            </w:pPr>
          </w:p>
          <w:p w14:paraId="42B34183" w14:textId="281FC161" w:rsidR="006B087E" w:rsidRPr="006B087E" w:rsidRDefault="006B087E" w:rsidP="006B087E">
            <w:pPr>
              <w:jc w:val="both"/>
              <w:rPr>
                <w:lang w:val="pt-BR"/>
              </w:rPr>
            </w:pPr>
            <w:r>
              <w:rPr>
                <w:lang w:val="pt-BR"/>
              </w:rPr>
              <w:t>[  ] Aprovar   [   ] Rejeitar   [   ] Abster-se</w:t>
            </w:r>
          </w:p>
        </w:tc>
      </w:tr>
      <w:tr w:rsidR="001C027A" w:rsidRPr="00D06F51" w14:paraId="57040C25" w14:textId="77777777" w:rsidTr="00812513">
        <w:tc>
          <w:tcPr>
            <w:tcW w:w="9355" w:type="dxa"/>
            <w:gridSpan w:val="2"/>
          </w:tcPr>
          <w:p w14:paraId="78AC9987" w14:textId="77777777" w:rsidR="006B087E" w:rsidRDefault="006B087E" w:rsidP="006B087E">
            <w:pPr>
              <w:jc w:val="both"/>
              <w:rPr>
                <w:lang w:val="pt-BR"/>
              </w:rPr>
            </w:pPr>
          </w:p>
          <w:p w14:paraId="7AB5252E" w14:textId="40D84ED2" w:rsidR="00B875F5" w:rsidRPr="00B875F5" w:rsidRDefault="00B875F5" w:rsidP="00D104D9">
            <w:pPr>
              <w:pStyle w:val="PargrafodaLista"/>
              <w:numPr>
                <w:ilvl w:val="0"/>
                <w:numId w:val="14"/>
              </w:numPr>
              <w:jc w:val="both"/>
              <w:rPr>
                <w:lang w:val="pt-BR"/>
              </w:rPr>
            </w:pPr>
            <w:r w:rsidRPr="00B875F5">
              <w:rPr>
                <w:lang w:val="pt-BR"/>
              </w:rPr>
              <w:t>Caso comprovado o descumprimento e aprovado o item “(i)” acima, aprovar a não incidência dos Encargos Moratórios conforme definido na CPR-F, referente a eventual inadimplemento pecuniário informado no item (i) acima</w:t>
            </w:r>
            <w:r w:rsidR="00D104D9">
              <w:rPr>
                <w:lang w:val="pt-BR"/>
              </w:rPr>
              <w:t>.</w:t>
            </w:r>
          </w:p>
          <w:p w14:paraId="7A9F2EFA" w14:textId="77777777" w:rsidR="00F7748A" w:rsidRPr="00F7748A" w:rsidRDefault="00F7748A" w:rsidP="00DE69CF">
            <w:pPr>
              <w:pStyle w:val="PargrafodaLista"/>
              <w:ind w:left="1080"/>
              <w:jc w:val="both"/>
              <w:rPr>
                <w:lang w:val="pt-BR"/>
              </w:rPr>
            </w:pPr>
          </w:p>
          <w:p w14:paraId="68B3DBCC" w14:textId="37BEDBB7" w:rsidR="006B087E" w:rsidRPr="006B087E" w:rsidRDefault="006B087E" w:rsidP="006B087E">
            <w:pPr>
              <w:jc w:val="both"/>
              <w:rPr>
                <w:lang w:val="pt-BR"/>
              </w:rPr>
            </w:pPr>
            <w:r>
              <w:rPr>
                <w:lang w:val="pt-BR"/>
              </w:rPr>
              <w:t>[  ] Aprovar   [   ] Rejeitar   [   ] Abster-se</w:t>
            </w:r>
          </w:p>
        </w:tc>
      </w:tr>
      <w:tr w:rsidR="00E2130C" w:rsidRPr="00D06F51" w14:paraId="108B05FB" w14:textId="77777777" w:rsidTr="00812513">
        <w:tc>
          <w:tcPr>
            <w:tcW w:w="9355" w:type="dxa"/>
            <w:gridSpan w:val="2"/>
          </w:tcPr>
          <w:p w14:paraId="31D95447" w14:textId="77777777" w:rsidR="00E2130C" w:rsidRDefault="00E2130C" w:rsidP="00E2130C">
            <w:pPr>
              <w:pStyle w:val="PargrafodaLista"/>
              <w:ind w:left="1080"/>
              <w:jc w:val="both"/>
              <w:rPr>
                <w:lang w:val="pt-BR"/>
              </w:rPr>
            </w:pPr>
          </w:p>
          <w:p w14:paraId="1D49655E" w14:textId="07B72C87" w:rsidR="00D104D9" w:rsidRPr="00D104D9" w:rsidRDefault="00D104D9" w:rsidP="00D104D9">
            <w:pPr>
              <w:pStyle w:val="PargrafodaLista"/>
              <w:numPr>
                <w:ilvl w:val="0"/>
                <w:numId w:val="15"/>
              </w:numPr>
              <w:jc w:val="both"/>
              <w:rPr>
                <w:lang w:val="pt-BR"/>
              </w:rPr>
            </w:pPr>
            <w:r w:rsidRPr="00D104D9">
              <w:rPr>
                <w:lang w:val="pt-BR"/>
              </w:rPr>
              <w:t>Caso comprovado o descumprimento e aprovado o item “(i)” acima, autorizar a incorporação dos Juros Remuneratórios 09/2024, vencidos e não pagos, ao saldo devedor a vencer da CPR-F e, consequentemente, ao saldo devedor dos CRA</w:t>
            </w:r>
            <w:r>
              <w:rPr>
                <w:lang w:val="pt-BR"/>
              </w:rPr>
              <w:t>.</w:t>
            </w:r>
          </w:p>
          <w:p w14:paraId="7895ED23" w14:textId="77777777" w:rsidR="00E2130C" w:rsidRPr="00F7748A" w:rsidRDefault="00E2130C" w:rsidP="00E2130C">
            <w:pPr>
              <w:pStyle w:val="PargrafodaLista"/>
              <w:ind w:left="1080"/>
              <w:jc w:val="both"/>
              <w:rPr>
                <w:lang w:val="pt-BR"/>
              </w:rPr>
            </w:pPr>
          </w:p>
          <w:p w14:paraId="4C19B03E" w14:textId="2AB7578B" w:rsidR="00E2130C" w:rsidRDefault="00E2130C" w:rsidP="00E2130C">
            <w:pPr>
              <w:jc w:val="both"/>
              <w:rPr>
                <w:lang w:val="pt-BR"/>
              </w:rPr>
            </w:pPr>
            <w:r>
              <w:rPr>
                <w:lang w:val="pt-BR"/>
              </w:rPr>
              <w:t>[  ] Aprovar   [   ] Rejeitar   [   ] Abster-se</w:t>
            </w:r>
          </w:p>
        </w:tc>
      </w:tr>
      <w:tr w:rsidR="00F7748A" w:rsidRPr="00F426D8" w14:paraId="3330E7F3" w14:textId="77777777" w:rsidTr="00812513">
        <w:tc>
          <w:tcPr>
            <w:tcW w:w="9355" w:type="dxa"/>
            <w:gridSpan w:val="2"/>
          </w:tcPr>
          <w:p w14:paraId="08B57175" w14:textId="77777777" w:rsidR="006F2B91" w:rsidRDefault="006F2B91" w:rsidP="006F2B91">
            <w:pPr>
              <w:pStyle w:val="PargrafodaLista"/>
              <w:ind w:left="1080"/>
              <w:jc w:val="both"/>
              <w:rPr>
                <w:lang w:val="pt-BR"/>
              </w:rPr>
            </w:pPr>
          </w:p>
          <w:p w14:paraId="2879F72B" w14:textId="75A4B8C2" w:rsidR="00F426D8" w:rsidRPr="00F426D8" w:rsidRDefault="00F426D8" w:rsidP="00224CEF">
            <w:pPr>
              <w:pStyle w:val="PargrafodaLista"/>
              <w:numPr>
                <w:ilvl w:val="0"/>
                <w:numId w:val="15"/>
              </w:numPr>
              <w:jc w:val="both"/>
              <w:rPr>
                <w:lang w:val="pt-BR"/>
              </w:rPr>
            </w:pPr>
            <w:r w:rsidRPr="00F426D8">
              <w:rPr>
                <w:lang w:val="pt-BR"/>
              </w:rPr>
              <w:t>Aprovar a concessão de waiver temporário, pelo prazo de 120 (cento e vinte) dias a contar da data da aprovação em AGT, para suspender os pagamentos das parcelas, conforme Cronograma de Pagamento de Amortização Ordinária e Juros Remuneratórios constante no Anexo II do Termo de Securitização, bem como o Cronograma de Pagamento da Amortização do Valor Nominal e da Remuneração prevista no Anexo II da CPR-F, até o dia 21 de janeiro de 2025. Fica certo que os juros remuneratórios vencidos e não pagos durante esse período serão incorporados ao saldo devedor a vencer da CPR-F e, consequentemente, ao saldo devedor dos CRA</w:t>
            </w:r>
            <w:r>
              <w:rPr>
                <w:lang w:val="pt-BR"/>
              </w:rPr>
              <w:t>.</w:t>
            </w:r>
          </w:p>
          <w:p w14:paraId="7E1D4822" w14:textId="77777777" w:rsidR="00DE69CF" w:rsidRDefault="00DE69CF" w:rsidP="006F2B91">
            <w:pPr>
              <w:pStyle w:val="PargrafodaLista"/>
              <w:ind w:left="1080"/>
              <w:jc w:val="both"/>
              <w:rPr>
                <w:lang w:val="pt-BR"/>
              </w:rPr>
            </w:pPr>
          </w:p>
          <w:p w14:paraId="1AB880C6" w14:textId="44654E7E" w:rsidR="006F2B91" w:rsidRPr="006F2B91" w:rsidRDefault="006F2B91" w:rsidP="006F2B91">
            <w:pPr>
              <w:jc w:val="both"/>
              <w:rPr>
                <w:lang w:val="pt-BR"/>
              </w:rPr>
            </w:pPr>
            <w:r w:rsidRPr="006F2B91">
              <w:rPr>
                <w:lang w:val="pt-BR"/>
              </w:rPr>
              <w:t>[  ] Aprovar   [   ] Rejeitar   [   ] Abster-se</w:t>
            </w:r>
          </w:p>
        </w:tc>
      </w:tr>
      <w:tr w:rsidR="00224CEF" w:rsidRPr="00F426D8" w14:paraId="557CE1F1" w14:textId="77777777" w:rsidTr="00812513">
        <w:tc>
          <w:tcPr>
            <w:tcW w:w="9355" w:type="dxa"/>
            <w:gridSpan w:val="2"/>
          </w:tcPr>
          <w:p w14:paraId="74A184FE" w14:textId="77777777" w:rsidR="00224CEF" w:rsidRDefault="00224CEF" w:rsidP="006F2B91">
            <w:pPr>
              <w:pStyle w:val="PargrafodaLista"/>
              <w:ind w:left="1080"/>
              <w:jc w:val="both"/>
              <w:rPr>
                <w:lang w:val="pt-BR"/>
              </w:rPr>
            </w:pPr>
          </w:p>
          <w:p w14:paraId="7C4D2DDE" w14:textId="2244DAFF" w:rsidR="00DB1331" w:rsidRPr="00DB1331" w:rsidRDefault="00DB1331" w:rsidP="00DB1331">
            <w:pPr>
              <w:pStyle w:val="PargrafodaLista"/>
              <w:numPr>
                <w:ilvl w:val="0"/>
                <w:numId w:val="15"/>
              </w:numPr>
              <w:jc w:val="both"/>
              <w:rPr>
                <w:lang w:val="pt-BR"/>
              </w:rPr>
            </w:pPr>
            <w:r w:rsidRPr="00DB1331">
              <w:rPr>
                <w:lang w:val="pt-BR"/>
              </w:rPr>
              <w:t>Aprovar a prorrogação do waiver temporário, inicialmente concedido na Assembleia Geral de Titulares realizada em 22 de abril de 2024 (“</w:t>
            </w:r>
            <w:r w:rsidRPr="009151C5">
              <w:rPr>
                <w:u w:val="single"/>
                <w:lang w:val="pt-BR"/>
              </w:rPr>
              <w:t>AGT de Abril</w:t>
            </w:r>
            <w:r w:rsidRPr="00DB1331">
              <w:rPr>
                <w:lang w:val="pt-BR"/>
              </w:rPr>
              <w:t>”), pelo prazo adicional de 120 (cento e vinte) dias, a contar da data da aprovação em AGT,  para a não declaração do Vencimento Antecipado Não Automático da CPR-F e, consequentemente a não realização do resgate antecipado dos CRA, nos termos da Cláusula 7.2 do Termo de Securitização, em função do descumprimento pelo Emitente das obrigações não pecuniárias previstas nos itens “(vi)”, “(x)”, “(xvii)” e “(xx)” da Cláusula 8.2 da CPR-F, no que tange à Execução Cível n.º 1128694-58.2023.8.26.0100, movida pelo Banco Voiter S.A. e n.º 1144578-30.2023.8.26.0100, movida pelo Banco Safra S.A., que tramita perante o Tribunal de Justiça de São Paulo, 3 e 26 Vara Cível de São Paulo, em face do sr. Francisco Ferreira Camacho (“</w:t>
            </w:r>
            <w:r w:rsidRPr="0054263C">
              <w:rPr>
                <w:u w:val="single"/>
                <w:lang w:val="pt-BR"/>
              </w:rPr>
              <w:t>Emitente</w:t>
            </w:r>
            <w:r w:rsidRPr="00DB1331">
              <w:rPr>
                <w:lang w:val="pt-BR"/>
              </w:rPr>
              <w:t>”)</w:t>
            </w:r>
            <w:r>
              <w:rPr>
                <w:lang w:val="pt-BR"/>
              </w:rPr>
              <w:t>.</w:t>
            </w:r>
          </w:p>
          <w:p w14:paraId="738A9E4E" w14:textId="77777777" w:rsidR="00224CEF" w:rsidRDefault="00224CEF" w:rsidP="00DB1331">
            <w:pPr>
              <w:pStyle w:val="PargrafodaLista"/>
              <w:ind w:left="1080"/>
              <w:rPr>
                <w:lang w:val="pt-BR"/>
              </w:rPr>
            </w:pPr>
          </w:p>
          <w:p w14:paraId="76EF4D7E" w14:textId="27E81677" w:rsidR="00DB1331" w:rsidRPr="00DB1331" w:rsidRDefault="00DB1331" w:rsidP="00DB1331">
            <w:pPr>
              <w:rPr>
                <w:lang w:val="pt-BR"/>
              </w:rPr>
            </w:pPr>
            <w:r w:rsidRPr="00DB1331">
              <w:rPr>
                <w:lang w:val="pt-BR"/>
              </w:rPr>
              <w:t>[  ] Aprovar   [   ] Rejeitar   [   ] Abster-se</w:t>
            </w:r>
          </w:p>
        </w:tc>
      </w:tr>
      <w:tr w:rsidR="00080D3D" w:rsidRPr="00F426D8" w14:paraId="310B98DF" w14:textId="77777777" w:rsidTr="00812513">
        <w:tc>
          <w:tcPr>
            <w:tcW w:w="9355" w:type="dxa"/>
            <w:gridSpan w:val="2"/>
          </w:tcPr>
          <w:p w14:paraId="52FC0224" w14:textId="77777777" w:rsidR="00080D3D" w:rsidRDefault="00080D3D" w:rsidP="006F2B91">
            <w:pPr>
              <w:pStyle w:val="PargrafodaLista"/>
              <w:ind w:left="1080"/>
              <w:jc w:val="both"/>
              <w:rPr>
                <w:lang w:val="pt-BR"/>
              </w:rPr>
            </w:pPr>
          </w:p>
          <w:p w14:paraId="2DDD131D" w14:textId="03049596" w:rsidR="0026640E" w:rsidRPr="0026640E" w:rsidRDefault="0026640E" w:rsidP="0026640E">
            <w:pPr>
              <w:pStyle w:val="PargrafodaLista"/>
              <w:numPr>
                <w:ilvl w:val="0"/>
                <w:numId w:val="15"/>
              </w:numPr>
              <w:jc w:val="both"/>
              <w:rPr>
                <w:lang w:val="pt-BR"/>
              </w:rPr>
            </w:pPr>
            <w:r w:rsidRPr="0026640E">
              <w:rPr>
                <w:lang w:val="pt-BR"/>
              </w:rPr>
              <w:t>Aprovar a prorrogação do waiver temporário, inicialmente concedido na AGT de Abril, pelo prazo adicional de 120 (cento e vinte) dias, a contar da data da aprovação em AGT,  para a não declaração do Vencimento Antecipado Não Automático da CPR-F e, consequentemente a não realização do resgate antecipado dos CRA, nos termos da Cláusula 8.2, item “(i)” da CPR-F e da Cláusula 7.2 do Termo de Securitização, em função do descumprimento da obrigação de entregar para a Emissora a declaração anual do Emitente atestando: (a) que permanecem válidas as disposições contidas na CPR-F; (b) a não ocorrência de qualquer dos Eventos de Vencimento Antecipado e inexistência de descumprimento de obrigações do Emitente perante o Credor; (c) o cumprimento das obrigações assumidas na CPR-F, declaração essa devida até 31 (trinta e um) de dezembro de cada ano calendário até a Data de Vencimento, nos termos da Cláusula 11.2, item “(xxi)”, subitem “(d)” da CPR-F (“</w:t>
            </w:r>
            <w:r w:rsidRPr="0054263C">
              <w:rPr>
                <w:u w:val="single"/>
                <w:lang w:val="pt-BR"/>
              </w:rPr>
              <w:t>Declaração Anual do Emitente</w:t>
            </w:r>
            <w:r w:rsidRPr="0026640E">
              <w:rPr>
                <w:lang w:val="pt-BR"/>
              </w:rPr>
              <w:t>”)</w:t>
            </w:r>
            <w:r>
              <w:rPr>
                <w:lang w:val="pt-BR"/>
              </w:rPr>
              <w:t>.</w:t>
            </w:r>
          </w:p>
          <w:p w14:paraId="48E62880" w14:textId="77777777" w:rsidR="00080D3D" w:rsidRDefault="00080D3D" w:rsidP="0026640E">
            <w:pPr>
              <w:pStyle w:val="PargrafodaLista"/>
              <w:ind w:left="1080"/>
              <w:jc w:val="both"/>
              <w:rPr>
                <w:lang w:val="pt-BR"/>
              </w:rPr>
            </w:pPr>
          </w:p>
          <w:p w14:paraId="131F40F4" w14:textId="37E22300" w:rsidR="0026640E" w:rsidRPr="0026640E" w:rsidRDefault="0026640E" w:rsidP="0026640E">
            <w:pPr>
              <w:jc w:val="both"/>
              <w:rPr>
                <w:lang w:val="pt-BR"/>
              </w:rPr>
            </w:pPr>
            <w:r w:rsidRPr="0026640E">
              <w:rPr>
                <w:lang w:val="pt-BR"/>
              </w:rPr>
              <w:t>[  ] Aprovar   [   ] Rejeitar   [   ] Abster-se</w:t>
            </w:r>
          </w:p>
        </w:tc>
      </w:tr>
      <w:tr w:rsidR="0054263C" w:rsidRPr="00F426D8" w14:paraId="33C1E167" w14:textId="77777777" w:rsidTr="00812513">
        <w:tc>
          <w:tcPr>
            <w:tcW w:w="9355" w:type="dxa"/>
            <w:gridSpan w:val="2"/>
          </w:tcPr>
          <w:p w14:paraId="18A9E4F9" w14:textId="77777777" w:rsidR="0054263C" w:rsidRDefault="0054263C" w:rsidP="00B10FE3">
            <w:pPr>
              <w:pStyle w:val="PargrafodaLista"/>
              <w:ind w:left="1080"/>
              <w:jc w:val="both"/>
              <w:rPr>
                <w:lang w:val="pt-BR"/>
              </w:rPr>
            </w:pPr>
          </w:p>
          <w:p w14:paraId="6BA83255" w14:textId="57D4C1CF" w:rsidR="00B10FE3" w:rsidRDefault="00B10FE3" w:rsidP="00B10FE3">
            <w:pPr>
              <w:pStyle w:val="PargrafodaLista"/>
              <w:numPr>
                <w:ilvl w:val="0"/>
                <w:numId w:val="15"/>
              </w:numPr>
              <w:jc w:val="both"/>
              <w:rPr>
                <w:lang w:val="pt-BR"/>
              </w:rPr>
            </w:pPr>
            <w:r w:rsidRPr="00B10FE3">
              <w:rPr>
                <w:lang w:val="pt-BR"/>
              </w:rPr>
              <w:t xml:space="preserve">Aprovar a prorrogação do waiver temporário, inicialmente concedido na AGT de Abril, pelo prazo adicional de 120 (cento e vinte) dias, a contar da data da aprovação em AGT,  para a não declaração do Vencimento Antecipado Não Automático da CPR-F e, consequentemente a não realização do resgate antecipado dos CRA, nos termos da Cláusula 8.2, item “(i)” da CPR-F e da Cláusula 7.2 do Termo de Securitização, em função do desenquadramento do Fundo de Reserva, verificado no mês de fevereiro de 2024, e da não recomposição, pelo Emitente, de forma a garantir que nele haja recursos disponíveis e </w:t>
            </w:r>
            <w:r w:rsidRPr="00B10FE3">
              <w:rPr>
                <w:lang w:val="pt-BR"/>
              </w:rPr>
              <w:lastRenderedPageBreak/>
              <w:t>suficientes para que a Emissora satisfaça, em sua integralidade, o pagamento das 02 (duas) próximas parcelas da Remuneração devidas pelo Emitente, nos termos da Cláusula 15.6 da CPR-F</w:t>
            </w:r>
            <w:r w:rsidR="00C47A8D">
              <w:rPr>
                <w:lang w:val="pt-BR"/>
              </w:rPr>
              <w:t>.</w:t>
            </w:r>
          </w:p>
          <w:p w14:paraId="2FCF7F37" w14:textId="77777777" w:rsidR="00B10FE3" w:rsidRPr="00B10FE3" w:rsidRDefault="00B10FE3" w:rsidP="00B10FE3">
            <w:pPr>
              <w:jc w:val="both"/>
              <w:rPr>
                <w:lang w:val="pt-BR"/>
              </w:rPr>
            </w:pPr>
          </w:p>
          <w:p w14:paraId="5E746E8C" w14:textId="52D603F3" w:rsidR="00B10FE3" w:rsidRPr="00B10FE3" w:rsidRDefault="00B10FE3" w:rsidP="00B10FE3">
            <w:pPr>
              <w:jc w:val="both"/>
              <w:rPr>
                <w:lang w:val="pt-BR"/>
              </w:rPr>
            </w:pPr>
            <w:r w:rsidRPr="00B10FE3">
              <w:rPr>
                <w:lang w:val="pt-BR"/>
              </w:rPr>
              <w:t>[  ] Aprovar   [   ] Rejeitar   [   ] Abster-se</w:t>
            </w:r>
          </w:p>
        </w:tc>
      </w:tr>
      <w:tr w:rsidR="00AC76F4" w:rsidRPr="00F426D8" w14:paraId="4F23373C" w14:textId="77777777" w:rsidTr="00812513">
        <w:tc>
          <w:tcPr>
            <w:tcW w:w="9355" w:type="dxa"/>
            <w:gridSpan w:val="2"/>
          </w:tcPr>
          <w:p w14:paraId="13BC4D5B" w14:textId="77777777" w:rsidR="00AC76F4" w:rsidRDefault="00AC76F4" w:rsidP="00470F60">
            <w:pPr>
              <w:pStyle w:val="PargrafodaLista"/>
              <w:ind w:left="1080"/>
              <w:jc w:val="both"/>
              <w:rPr>
                <w:lang w:val="pt-BR"/>
              </w:rPr>
            </w:pPr>
          </w:p>
          <w:p w14:paraId="5F8A5F9C" w14:textId="77777777" w:rsidR="00470F60" w:rsidRDefault="00AD6D15" w:rsidP="009D75C4">
            <w:pPr>
              <w:pStyle w:val="PargrafodaLista"/>
              <w:numPr>
                <w:ilvl w:val="0"/>
                <w:numId w:val="15"/>
              </w:numPr>
              <w:jc w:val="both"/>
              <w:rPr>
                <w:lang w:val="pt-BR"/>
              </w:rPr>
            </w:pPr>
            <w:r w:rsidRPr="00AD6D15">
              <w:rPr>
                <w:lang w:val="pt-BR"/>
              </w:rPr>
              <w:t>Aprovar a prorrogação do waiver temporário, inicialmente concedido na AGT de Abril, pelo prazo adicional de 120 (cento e vinte) dias, a contar da data da aprovação em AGT,  para a não declaração do Vencimento Antecipado Não Automático da CPR-F e, consequentemente a não realização do resgate antecipado dos CRA, nos termos da Cláusula 8.2, item “(i)” da CPR-F e da Cláusula 7.2 do Termo de Securitização, em função do desenquadramento do Índice de Cobertura da Cessão Fiduciária, verificado no mês de fevereiro de 2024, o qual o Emitente deve assegurar trimestralmente um valor mínimo correspondente a 150% (cento e cinquenta por cento) das PMTs, nos termos da Cláusula 13.1.3.4 da CPR-F</w:t>
            </w:r>
            <w:r>
              <w:rPr>
                <w:lang w:val="pt-BR"/>
              </w:rPr>
              <w:t>.</w:t>
            </w:r>
          </w:p>
          <w:p w14:paraId="4E4899DA" w14:textId="77777777" w:rsidR="009D75C4" w:rsidRDefault="009D75C4" w:rsidP="009D75C4">
            <w:pPr>
              <w:pStyle w:val="PargrafodaLista"/>
              <w:ind w:left="1080"/>
              <w:jc w:val="both"/>
              <w:rPr>
                <w:lang w:val="pt-BR"/>
              </w:rPr>
            </w:pPr>
          </w:p>
          <w:p w14:paraId="07BBEA96" w14:textId="52430DE5" w:rsidR="009D75C4" w:rsidRPr="009D75C4" w:rsidRDefault="009D75C4" w:rsidP="009D75C4">
            <w:pPr>
              <w:jc w:val="both"/>
              <w:rPr>
                <w:lang w:val="pt-BR"/>
              </w:rPr>
            </w:pPr>
            <w:r w:rsidRPr="009D75C4">
              <w:rPr>
                <w:lang w:val="pt-BR"/>
              </w:rPr>
              <w:t>[  ] Aprovar   [   ] Rejeitar   [   ] Abster-se</w:t>
            </w:r>
          </w:p>
        </w:tc>
      </w:tr>
      <w:tr w:rsidR="009D75C4" w:rsidRPr="00F426D8" w14:paraId="2077BE36" w14:textId="77777777" w:rsidTr="00812513">
        <w:tc>
          <w:tcPr>
            <w:tcW w:w="9355" w:type="dxa"/>
            <w:gridSpan w:val="2"/>
          </w:tcPr>
          <w:p w14:paraId="30E4A20E" w14:textId="77777777" w:rsidR="009D75C4" w:rsidRDefault="009D75C4" w:rsidP="00470F60">
            <w:pPr>
              <w:pStyle w:val="PargrafodaLista"/>
              <w:ind w:left="1080"/>
              <w:jc w:val="both"/>
              <w:rPr>
                <w:lang w:val="pt-BR"/>
              </w:rPr>
            </w:pPr>
          </w:p>
          <w:p w14:paraId="6C3292D7" w14:textId="2B044344" w:rsidR="004E3A7E" w:rsidRPr="004E3A7E" w:rsidRDefault="004E3A7E" w:rsidP="004E3A7E">
            <w:pPr>
              <w:pStyle w:val="PargrafodaLista"/>
              <w:numPr>
                <w:ilvl w:val="0"/>
                <w:numId w:val="15"/>
              </w:numPr>
              <w:jc w:val="both"/>
              <w:rPr>
                <w:lang w:val="pt-BR"/>
              </w:rPr>
            </w:pPr>
            <w:r w:rsidRPr="004E3A7E">
              <w:rPr>
                <w:lang w:val="pt-BR"/>
              </w:rPr>
              <w:t>Aprovar a concessão de waiver temporário pelo prazo de 120 (cento e vinte) dias, a contar da data da aprovação em AGT, para a não declaração do Vencimento Antecipado Não Automático da CPR-F e, consequentemente a não realização do resgate antecipado dos CRA, nos termos da Cláusula 7.2 do Termo de Securitização, em função do descumprimento pelo Emitente das obrigações não pecuniárias previstas no item “(i)” da Cláusula 8.2 da CPR-F, no que tange ao envio semestral, pelo Emitente, das certidões atualizadas das matrículas referentes ao Imóvel - matrícula nº 0547 do RGI de São Desidério/BA, prevista na Cláusula 11.2, item “(iii)” da CPR-F</w:t>
            </w:r>
            <w:r>
              <w:rPr>
                <w:lang w:val="pt-BR"/>
              </w:rPr>
              <w:t>.</w:t>
            </w:r>
          </w:p>
          <w:p w14:paraId="152E7147" w14:textId="77777777" w:rsidR="009D75C4" w:rsidRDefault="009D75C4" w:rsidP="004E3A7E">
            <w:pPr>
              <w:pStyle w:val="PargrafodaLista"/>
              <w:ind w:left="1080"/>
              <w:jc w:val="both"/>
              <w:rPr>
                <w:lang w:val="pt-BR"/>
              </w:rPr>
            </w:pPr>
          </w:p>
          <w:p w14:paraId="49F393BE" w14:textId="2647FB3F" w:rsidR="004E3A7E" w:rsidRPr="004E3A7E" w:rsidRDefault="004E3A7E" w:rsidP="004E3A7E">
            <w:pPr>
              <w:jc w:val="both"/>
              <w:rPr>
                <w:lang w:val="pt-BR"/>
              </w:rPr>
            </w:pPr>
            <w:r w:rsidRPr="004E3A7E">
              <w:rPr>
                <w:lang w:val="pt-BR"/>
              </w:rPr>
              <w:t>[  ] Aprovar   [   ] Rejeitar   [   ] Abster-se</w:t>
            </w:r>
          </w:p>
        </w:tc>
      </w:tr>
      <w:tr w:rsidR="004E3A7E" w:rsidRPr="00F426D8" w14:paraId="1B00F6BB" w14:textId="77777777" w:rsidTr="00812513">
        <w:tc>
          <w:tcPr>
            <w:tcW w:w="9355" w:type="dxa"/>
            <w:gridSpan w:val="2"/>
          </w:tcPr>
          <w:p w14:paraId="6FD97FAF" w14:textId="77777777" w:rsidR="004E3A7E" w:rsidRDefault="004E3A7E" w:rsidP="00470F60">
            <w:pPr>
              <w:pStyle w:val="PargrafodaLista"/>
              <w:ind w:left="1080"/>
              <w:jc w:val="both"/>
              <w:rPr>
                <w:lang w:val="pt-BR"/>
              </w:rPr>
            </w:pPr>
          </w:p>
          <w:p w14:paraId="2DFFEB33" w14:textId="2EC3294C" w:rsidR="00CE5892" w:rsidRPr="00CE5892" w:rsidRDefault="00CE5892" w:rsidP="00CE5892">
            <w:pPr>
              <w:pStyle w:val="PargrafodaLista"/>
              <w:numPr>
                <w:ilvl w:val="0"/>
                <w:numId w:val="15"/>
              </w:numPr>
              <w:jc w:val="both"/>
              <w:rPr>
                <w:lang w:val="pt-BR"/>
              </w:rPr>
            </w:pPr>
            <w:r w:rsidRPr="00CE5892">
              <w:rPr>
                <w:lang w:val="pt-BR"/>
              </w:rPr>
              <w:t>Aprovar a prorrogação do prazo para constituição da garantia real imobiliária, conforme condicionante estabelecida na AGT de Abril, por um período adicional de 120 (cento e vinte) dias, a contar da data da aprovação em AGT, para a formalização da inclusão de garantia real imobiliária no valor mínimo de R$ 10.000.000,00 (dez milhões de reais) de liquidação forçada em alienação fiduciária, de acordo com o respectivo laudo de avaliação; e</w:t>
            </w:r>
          </w:p>
          <w:p w14:paraId="489C1648" w14:textId="77777777" w:rsidR="00CE5892" w:rsidRDefault="00CE5892" w:rsidP="00CE5892">
            <w:pPr>
              <w:ind w:left="360"/>
              <w:jc w:val="both"/>
              <w:rPr>
                <w:lang w:val="pt-BR"/>
              </w:rPr>
            </w:pPr>
          </w:p>
          <w:p w14:paraId="79BB217F" w14:textId="270FA8E4" w:rsidR="00CE5892" w:rsidRPr="00CE5892" w:rsidRDefault="00CE5892" w:rsidP="00CE5892">
            <w:pPr>
              <w:jc w:val="both"/>
              <w:rPr>
                <w:lang w:val="pt-BR"/>
              </w:rPr>
            </w:pPr>
            <w:r w:rsidRPr="009D75C4">
              <w:rPr>
                <w:lang w:val="pt-BR"/>
              </w:rPr>
              <w:t>[  ] Aprovar   [   ] Rejeitar   [   ] Abster-se</w:t>
            </w:r>
          </w:p>
        </w:tc>
      </w:tr>
      <w:tr w:rsidR="00CE5892" w:rsidRPr="00F426D8" w14:paraId="60DE3D8B" w14:textId="77777777" w:rsidTr="00812513">
        <w:tc>
          <w:tcPr>
            <w:tcW w:w="9355" w:type="dxa"/>
            <w:gridSpan w:val="2"/>
          </w:tcPr>
          <w:p w14:paraId="754B69F1" w14:textId="77777777" w:rsidR="00474416" w:rsidRDefault="00474416" w:rsidP="00474416">
            <w:pPr>
              <w:pStyle w:val="Default"/>
              <w:spacing w:line="320" w:lineRule="exact"/>
              <w:jc w:val="both"/>
              <w:rPr>
                <w:rFonts w:asciiTheme="minorHAnsi" w:hAnsiTheme="minorHAnsi" w:cstheme="minorHAnsi"/>
                <w:color w:val="auto"/>
                <w:sz w:val="22"/>
                <w:szCs w:val="22"/>
              </w:rPr>
            </w:pPr>
          </w:p>
          <w:p w14:paraId="22DE1312" w14:textId="44AB28DC" w:rsidR="0026344C" w:rsidRPr="00474416" w:rsidRDefault="0026344C" w:rsidP="0026344C">
            <w:pPr>
              <w:pStyle w:val="Default"/>
              <w:numPr>
                <w:ilvl w:val="0"/>
                <w:numId w:val="15"/>
              </w:numPr>
              <w:spacing w:line="320" w:lineRule="exact"/>
              <w:jc w:val="both"/>
              <w:rPr>
                <w:rFonts w:asciiTheme="minorHAnsi" w:hAnsiTheme="minorHAnsi" w:cstheme="minorHAnsi"/>
                <w:color w:val="auto"/>
                <w:sz w:val="22"/>
                <w:szCs w:val="22"/>
              </w:rPr>
            </w:pPr>
            <w:r w:rsidRPr="00474416">
              <w:rPr>
                <w:rFonts w:asciiTheme="minorHAnsi" w:hAnsiTheme="minorHAnsi" w:cstheme="minorHAnsi"/>
                <w:color w:val="auto"/>
                <w:sz w:val="22"/>
                <w:szCs w:val="22"/>
              </w:rPr>
              <w:t xml:space="preserve">Autorização para a Securitizadora, o Agente Fiduciário, o Emitente, Avalistas, quaisquer terceiros garantidores e as demais partes relacionadas à Emissão, conforme aplicável, a praticarem todos os atos necessários para a efetivação e implementação dos itens acima, bem como celebrar quaisquer aditamentos aos Documentos da Oferta que se façam necessários para a efetivação das matérias eventualmente aprovadas da Ordem do Dia. </w:t>
            </w:r>
          </w:p>
          <w:p w14:paraId="651A605C" w14:textId="77777777" w:rsidR="00CE5892" w:rsidRDefault="00CE5892" w:rsidP="0026344C">
            <w:pPr>
              <w:jc w:val="both"/>
              <w:rPr>
                <w:lang w:val="pt-BR"/>
              </w:rPr>
            </w:pPr>
          </w:p>
          <w:p w14:paraId="57728ED4" w14:textId="65994FD5" w:rsidR="0026344C" w:rsidRPr="0026344C" w:rsidRDefault="0026344C" w:rsidP="0026344C">
            <w:pPr>
              <w:jc w:val="both"/>
              <w:rPr>
                <w:lang w:val="pt-BR"/>
              </w:rPr>
            </w:pPr>
            <w:r w:rsidRPr="009D75C4">
              <w:rPr>
                <w:lang w:val="pt-BR"/>
              </w:rPr>
              <w:t>[  ] Aprovar   [   ] Rejeitar   [   ] Abster-se</w:t>
            </w:r>
          </w:p>
        </w:tc>
      </w:tr>
      <w:tr w:rsidR="00515292" w:rsidRPr="00D06F51" w14:paraId="124565E9" w14:textId="77777777" w:rsidTr="00812513">
        <w:tc>
          <w:tcPr>
            <w:tcW w:w="9355" w:type="dxa"/>
            <w:gridSpan w:val="2"/>
          </w:tcPr>
          <w:p w14:paraId="73B60AB3" w14:textId="77777777" w:rsidR="00515292" w:rsidRDefault="00515292" w:rsidP="00515292">
            <w:pPr>
              <w:jc w:val="both"/>
              <w:rPr>
                <w:lang w:val="pt-BR"/>
              </w:rPr>
            </w:pPr>
          </w:p>
          <w:p w14:paraId="03484E43" w14:textId="392F4FD4" w:rsidR="002F3D0E" w:rsidRDefault="002F3D0E" w:rsidP="002F3D0E">
            <w:pPr>
              <w:pStyle w:val="PargrafodaLista"/>
              <w:spacing w:line="288" w:lineRule="auto"/>
              <w:ind w:left="0"/>
              <w:contextualSpacing w:val="0"/>
              <w:jc w:val="both"/>
              <w:rPr>
                <w:lang w:val="pt-BR"/>
              </w:rPr>
            </w:pPr>
            <w:r>
              <w:rPr>
                <w:lang w:val="pt-BR"/>
              </w:rPr>
              <w:lastRenderedPageBreak/>
              <w:t>O</w:t>
            </w:r>
            <w:r w:rsidRPr="002F3D0E">
              <w:rPr>
                <w:lang w:val="pt-BR"/>
              </w:rPr>
              <w:t xml:space="preserve"> Titular do </w:t>
            </w:r>
            <w:r w:rsidR="007E5AED" w:rsidRPr="0054263C">
              <w:rPr>
                <w:lang w:val="pt-BR"/>
              </w:rPr>
              <w:t>CRA</w:t>
            </w:r>
            <w:r w:rsidR="007E5AED">
              <w:rPr>
                <w:lang w:val="pt-BR"/>
              </w:rPr>
              <w:t xml:space="preserve"> </w:t>
            </w:r>
            <w:r>
              <w:rPr>
                <w:lang w:val="pt-BR"/>
              </w:rPr>
              <w:t>se enquadra</w:t>
            </w:r>
            <w:r w:rsidRPr="002F3D0E">
              <w:rPr>
                <w:lang w:val="pt-BR"/>
              </w:rPr>
              <w:t xml:space="preserve"> </w:t>
            </w:r>
            <w:r>
              <w:rPr>
                <w:lang w:val="pt-BR"/>
              </w:rPr>
              <w:t xml:space="preserve">em </w:t>
            </w:r>
            <w:r w:rsidRPr="002F3D0E">
              <w:rPr>
                <w:lang w:val="pt-BR"/>
              </w:rPr>
              <w:t>qualquer hipótese que poderia ser caracterizada como conflito de interesses em relação das matérias da Ordem do Dia e demais partes da operação, bem como entre partes relacionadas, conforme definição prevista na deliberação CVM nº 642/2010 – Pronunciamento Técnico CPC 05, ao artigo 115 § 1º da Lei 6404/76, e outras hipóteses previstas em lei, conforme aplicável.</w:t>
            </w:r>
          </w:p>
          <w:p w14:paraId="0077C6B0" w14:textId="77777777" w:rsidR="002F3D0E" w:rsidRDefault="002F3D0E" w:rsidP="002F3D0E">
            <w:pPr>
              <w:pStyle w:val="PargrafodaLista"/>
              <w:spacing w:line="288" w:lineRule="auto"/>
              <w:ind w:left="0"/>
              <w:contextualSpacing w:val="0"/>
              <w:jc w:val="both"/>
              <w:rPr>
                <w:lang w:val="pt-BR"/>
              </w:rPr>
            </w:pPr>
          </w:p>
          <w:p w14:paraId="485F27F1" w14:textId="24CF0658" w:rsidR="002F3D0E" w:rsidRPr="002F3D0E" w:rsidRDefault="002F3D0E" w:rsidP="002F3D0E">
            <w:pPr>
              <w:pStyle w:val="PargrafodaLista"/>
              <w:spacing w:line="288" w:lineRule="auto"/>
              <w:ind w:left="0"/>
              <w:contextualSpacing w:val="0"/>
              <w:jc w:val="both"/>
              <w:rPr>
                <w:lang w:val="pt-BR"/>
              </w:rPr>
            </w:pPr>
            <w:r>
              <w:rPr>
                <w:lang w:val="pt-BR"/>
              </w:rPr>
              <w:t>[  ] Sim [  ] Não</w:t>
            </w:r>
          </w:p>
          <w:p w14:paraId="2C674EC3" w14:textId="77777777" w:rsidR="00515292" w:rsidRPr="00515292" w:rsidRDefault="00515292" w:rsidP="00515292">
            <w:pPr>
              <w:jc w:val="both"/>
              <w:rPr>
                <w:lang w:val="pt-BR"/>
              </w:rPr>
            </w:pPr>
          </w:p>
        </w:tc>
      </w:tr>
      <w:tr w:rsidR="00E62A83" w:rsidRPr="00515292" w14:paraId="59C94E0A" w14:textId="77777777" w:rsidTr="00E62A83">
        <w:tc>
          <w:tcPr>
            <w:tcW w:w="2552" w:type="dxa"/>
          </w:tcPr>
          <w:p w14:paraId="753F54C9" w14:textId="77777777" w:rsidR="00E62A83" w:rsidRDefault="00E62A83" w:rsidP="00130B6D">
            <w:pPr>
              <w:jc w:val="both"/>
              <w:rPr>
                <w:lang w:val="pt-BR"/>
              </w:rPr>
            </w:pPr>
            <w:r>
              <w:rPr>
                <w:lang w:val="pt-BR"/>
              </w:rPr>
              <w:lastRenderedPageBreak/>
              <w:t>Investidor:</w:t>
            </w:r>
          </w:p>
        </w:tc>
        <w:tc>
          <w:tcPr>
            <w:tcW w:w="6803" w:type="dxa"/>
          </w:tcPr>
          <w:p w14:paraId="19A493DD" w14:textId="35332D3F" w:rsidR="00E62A83" w:rsidRDefault="00E62A83" w:rsidP="00130B6D">
            <w:pPr>
              <w:jc w:val="both"/>
              <w:rPr>
                <w:lang w:val="pt-BR"/>
              </w:rPr>
            </w:pPr>
          </w:p>
        </w:tc>
      </w:tr>
      <w:tr w:rsidR="00E62A83" w:rsidRPr="00F974CB" w14:paraId="60D5A8FE" w14:textId="77777777" w:rsidTr="00E62A83">
        <w:tc>
          <w:tcPr>
            <w:tcW w:w="2552" w:type="dxa"/>
          </w:tcPr>
          <w:p w14:paraId="1AC3BDC9" w14:textId="77777777" w:rsidR="00E62A83" w:rsidRDefault="00E62A83" w:rsidP="00130B6D">
            <w:pPr>
              <w:jc w:val="both"/>
              <w:rPr>
                <w:lang w:val="pt-BR"/>
              </w:rPr>
            </w:pPr>
            <w:r>
              <w:rPr>
                <w:lang w:val="pt-BR"/>
              </w:rPr>
              <w:t>CPF/CNPJ do Investidor:</w:t>
            </w:r>
          </w:p>
        </w:tc>
        <w:tc>
          <w:tcPr>
            <w:tcW w:w="6803" w:type="dxa"/>
          </w:tcPr>
          <w:p w14:paraId="62548DED" w14:textId="075B9B1D" w:rsidR="00E62A83" w:rsidRPr="00F974CB" w:rsidRDefault="00E62A83" w:rsidP="00130B6D">
            <w:pPr>
              <w:jc w:val="both"/>
              <w:rPr>
                <w:color w:val="000000"/>
                <w:lang w:eastAsia="pt-BR"/>
              </w:rPr>
            </w:pPr>
          </w:p>
        </w:tc>
      </w:tr>
      <w:tr w:rsidR="00E62A83" w14:paraId="5AEC2F4E" w14:textId="77777777" w:rsidTr="00E62A83">
        <w:tc>
          <w:tcPr>
            <w:tcW w:w="2552" w:type="dxa"/>
          </w:tcPr>
          <w:p w14:paraId="7FC107B0" w14:textId="77777777" w:rsidR="00E62A83" w:rsidRDefault="00E62A83" w:rsidP="00130B6D">
            <w:pPr>
              <w:jc w:val="both"/>
              <w:rPr>
                <w:lang w:val="pt-BR"/>
              </w:rPr>
            </w:pPr>
            <w:r>
              <w:rPr>
                <w:lang w:val="pt-BR"/>
              </w:rPr>
              <w:t>Emissão:</w:t>
            </w:r>
          </w:p>
        </w:tc>
        <w:tc>
          <w:tcPr>
            <w:tcW w:w="6803" w:type="dxa"/>
          </w:tcPr>
          <w:p w14:paraId="2B50EEF6" w14:textId="605A571D" w:rsidR="00E62A83" w:rsidRDefault="00E62A83" w:rsidP="00130B6D">
            <w:pPr>
              <w:jc w:val="both"/>
              <w:rPr>
                <w:lang w:val="pt-BR"/>
              </w:rPr>
            </w:pPr>
          </w:p>
        </w:tc>
      </w:tr>
      <w:tr w:rsidR="00E62A83" w14:paraId="3B234B50" w14:textId="77777777" w:rsidTr="00E62A83">
        <w:tc>
          <w:tcPr>
            <w:tcW w:w="2552" w:type="dxa"/>
          </w:tcPr>
          <w:p w14:paraId="31DF984E" w14:textId="77777777" w:rsidR="00E62A83" w:rsidRDefault="00E62A83" w:rsidP="00130B6D">
            <w:pPr>
              <w:jc w:val="both"/>
              <w:rPr>
                <w:lang w:val="pt-BR"/>
              </w:rPr>
            </w:pPr>
            <w:r>
              <w:rPr>
                <w:lang w:val="pt-BR"/>
              </w:rPr>
              <w:t>Série:</w:t>
            </w:r>
          </w:p>
        </w:tc>
        <w:tc>
          <w:tcPr>
            <w:tcW w:w="6803" w:type="dxa"/>
          </w:tcPr>
          <w:p w14:paraId="69E2C16C" w14:textId="04CCDA7E" w:rsidR="00E62A83" w:rsidRDefault="00E62A83" w:rsidP="00130B6D">
            <w:pPr>
              <w:jc w:val="both"/>
              <w:rPr>
                <w:lang w:val="pt-BR"/>
              </w:rPr>
            </w:pPr>
          </w:p>
        </w:tc>
      </w:tr>
      <w:tr w:rsidR="00E62A83" w14:paraId="206C86C0" w14:textId="77777777" w:rsidTr="00E62A83">
        <w:tc>
          <w:tcPr>
            <w:tcW w:w="2552" w:type="dxa"/>
          </w:tcPr>
          <w:p w14:paraId="540D184C" w14:textId="77777777" w:rsidR="00E62A83" w:rsidRDefault="00E62A83" w:rsidP="00130B6D">
            <w:pPr>
              <w:jc w:val="both"/>
              <w:rPr>
                <w:lang w:val="pt-BR"/>
              </w:rPr>
            </w:pPr>
            <w:r>
              <w:rPr>
                <w:lang w:val="pt-BR"/>
              </w:rPr>
              <w:t>Quantidade:</w:t>
            </w:r>
          </w:p>
        </w:tc>
        <w:tc>
          <w:tcPr>
            <w:tcW w:w="6803" w:type="dxa"/>
          </w:tcPr>
          <w:p w14:paraId="156A0C74" w14:textId="41E6B6EA" w:rsidR="00E62A83" w:rsidRDefault="00E62A83" w:rsidP="00130B6D">
            <w:pPr>
              <w:jc w:val="both"/>
              <w:rPr>
                <w:lang w:val="pt-BR"/>
              </w:rPr>
            </w:pPr>
          </w:p>
        </w:tc>
      </w:tr>
      <w:tr w:rsidR="00E62A83" w14:paraId="60593CF1" w14:textId="77777777" w:rsidTr="00E62A83">
        <w:trPr>
          <w:trHeight w:val="566"/>
        </w:trPr>
        <w:tc>
          <w:tcPr>
            <w:tcW w:w="2552" w:type="dxa"/>
          </w:tcPr>
          <w:p w14:paraId="7E7A2799" w14:textId="77777777" w:rsidR="00E62A83" w:rsidRDefault="00E62A83" w:rsidP="00130B6D">
            <w:pPr>
              <w:jc w:val="both"/>
              <w:rPr>
                <w:lang w:val="pt-BR"/>
              </w:rPr>
            </w:pPr>
            <w:r>
              <w:rPr>
                <w:lang w:val="pt-BR"/>
              </w:rPr>
              <w:t>Assinaturas:</w:t>
            </w:r>
          </w:p>
        </w:tc>
        <w:tc>
          <w:tcPr>
            <w:tcW w:w="6803" w:type="dxa"/>
          </w:tcPr>
          <w:p w14:paraId="2F4E0D19" w14:textId="77777777" w:rsidR="00E62A83" w:rsidRDefault="00E62A83" w:rsidP="00130B6D">
            <w:pPr>
              <w:jc w:val="both"/>
              <w:rPr>
                <w:lang w:val="pt-BR"/>
              </w:rPr>
            </w:pPr>
          </w:p>
        </w:tc>
      </w:tr>
    </w:tbl>
    <w:p w14:paraId="644A45BF" w14:textId="67FB690A" w:rsidR="00C84935" w:rsidRDefault="00C84935" w:rsidP="00E62A83">
      <w:pPr>
        <w:rPr>
          <w:rFonts w:eastAsia="Times New Roman"/>
          <w:b/>
          <w:bCs/>
          <w:lang w:val="pt-BR" w:eastAsia="pt-BR"/>
        </w:rPr>
      </w:pPr>
    </w:p>
    <w:p w14:paraId="15DF5901" w14:textId="77777777" w:rsidR="00B63664" w:rsidRDefault="00B63664" w:rsidP="00E62A83">
      <w:pPr>
        <w:rPr>
          <w:rFonts w:eastAsia="Times New Roman"/>
          <w:b/>
          <w:bCs/>
          <w:lang w:val="pt-BR" w:eastAsia="pt-BR"/>
        </w:rPr>
      </w:pPr>
    </w:p>
    <w:p w14:paraId="524D3B2D" w14:textId="77777777" w:rsidR="00B63664" w:rsidRDefault="00B63664" w:rsidP="00E62A83">
      <w:pPr>
        <w:rPr>
          <w:rFonts w:eastAsia="Times New Roman"/>
          <w:b/>
          <w:bCs/>
          <w:lang w:val="pt-BR" w:eastAsia="pt-BR"/>
        </w:rPr>
      </w:pPr>
    </w:p>
    <w:p w14:paraId="0555C730" w14:textId="77777777" w:rsidR="00B63664" w:rsidRDefault="00B63664" w:rsidP="00E62A83">
      <w:pPr>
        <w:rPr>
          <w:rFonts w:eastAsia="Times New Roman"/>
          <w:b/>
          <w:bCs/>
          <w:lang w:val="pt-BR" w:eastAsia="pt-BR"/>
        </w:rPr>
      </w:pPr>
    </w:p>
    <w:p w14:paraId="608C0C70" w14:textId="77777777" w:rsidR="00B63664" w:rsidRDefault="00B63664" w:rsidP="00E62A83">
      <w:pPr>
        <w:rPr>
          <w:rFonts w:eastAsia="Times New Roman"/>
          <w:b/>
          <w:bCs/>
          <w:lang w:val="pt-BR" w:eastAsia="pt-BR"/>
        </w:rPr>
      </w:pPr>
    </w:p>
    <w:p w14:paraId="06E6D77D" w14:textId="77777777" w:rsidR="00B63664" w:rsidRDefault="00B63664" w:rsidP="00E62A83">
      <w:pPr>
        <w:rPr>
          <w:rFonts w:eastAsia="Times New Roman"/>
          <w:b/>
          <w:bCs/>
          <w:lang w:val="pt-BR" w:eastAsia="pt-BR"/>
        </w:rPr>
      </w:pPr>
    </w:p>
    <w:p w14:paraId="5FB1291A" w14:textId="77777777" w:rsidR="00B63664" w:rsidRDefault="00B63664" w:rsidP="00E62A83">
      <w:pPr>
        <w:rPr>
          <w:rFonts w:eastAsia="Times New Roman"/>
          <w:b/>
          <w:bCs/>
          <w:lang w:val="pt-BR" w:eastAsia="pt-BR"/>
        </w:rPr>
      </w:pPr>
    </w:p>
    <w:p w14:paraId="74496F22" w14:textId="77777777" w:rsidR="00B63664" w:rsidRDefault="00B63664" w:rsidP="00E62A83">
      <w:pPr>
        <w:rPr>
          <w:rFonts w:eastAsia="Times New Roman"/>
          <w:b/>
          <w:bCs/>
          <w:lang w:val="pt-BR" w:eastAsia="pt-BR"/>
        </w:rPr>
      </w:pPr>
    </w:p>
    <w:p w14:paraId="73451655" w14:textId="77777777" w:rsidR="00B63664" w:rsidRDefault="00B63664" w:rsidP="00E62A83">
      <w:pPr>
        <w:rPr>
          <w:rFonts w:eastAsia="Times New Roman"/>
          <w:b/>
          <w:bCs/>
          <w:lang w:val="pt-BR" w:eastAsia="pt-BR"/>
        </w:rPr>
      </w:pPr>
    </w:p>
    <w:p w14:paraId="327B0060" w14:textId="77777777" w:rsidR="00B63664" w:rsidRDefault="00B63664" w:rsidP="00E62A83">
      <w:pPr>
        <w:rPr>
          <w:rFonts w:eastAsia="Times New Roman"/>
          <w:b/>
          <w:bCs/>
          <w:lang w:val="pt-BR" w:eastAsia="pt-BR"/>
        </w:rPr>
      </w:pPr>
    </w:p>
    <w:p w14:paraId="18C775B8" w14:textId="77777777" w:rsidR="00B63664" w:rsidRDefault="00B63664" w:rsidP="00E62A83">
      <w:pPr>
        <w:rPr>
          <w:rFonts w:eastAsia="Times New Roman"/>
          <w:b/>
          <w:bCs/>
          <w:lang w:val="pt-BR" w:eastAsia="pt-BR"/>
        </w:rPr>
      </w:pPr>
    </w:p>
    <w:sectPr w:rsidR="00B636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94410" w14:textId="77777777" w:rsidR="008E24BF" w:rsidRDefault="008E24BF" w:rsidP="008973D4">
      <w:pPr>
        <w:spacing w:after="0" w:line="240" w:lineRule="auto"/>
      </w:pPr>
      <w:r>
        <w:separator/>
      </w:r>
    </w:p>
  </w:endnote>
  <w:endnote w:type="continuationSeparator" w:id="0">
    <w:p w14:paraId="21F4A620" w14:textId="77777777" w:rsidR="008E24BF" w:rsidRDefault="008E24BF" w:rsidP="008973D4">
      <w:pPr>
        <w:spacing w:after="0" w:line="240" w:lineRule="auto"/>
      </w:pPr>
      <w:r>
        <w:continuationSeparator/>
      </w:r>
    </w:p>
  </w:endnote>
  <w:endnote w:type="continuationNotice" w:id="1">
    <w:p w14:paraId="2B296D46" w14:textId="77777777" w:rsidR="00F25718" w:rsidRDefault="00F257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Raleway Light">
    <w:altName w:val="Trebuchet MS"/>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91D4B" w14:textId="77777777" w:rsidR="008E24BF" w:rsidRDefault="008E24BF" w:rsidP="008973D4">
      <w:pPr>
        <w:spacing w:after="0" w:line="240" w:lineRule="auto"/>
      </w:pPr>
      <w:r>
        <w:separator/>
      </w:r>
    </w:p>
  </w:footnote>
  <w:footnote w:type="continuationSeparator" w:id="0">
    <w:p w14:paraId="0B5CDA10" w14:textId="77777777" w:rsidR="008E24BF" w:rsidRDefault="008E24BF" w:rsidP="008973D4">
      <w:pPr>
        <w:spacing w:after="0" w:line="240" w:lineRule="auto"/>
      </w:pPr>
      <w:r>
        <w:continuationSeparator/>
      </w:r>
    </w:p>
  </w:footnote>
  <w:footnote w:type="continuationNotice" w:id="1">
    <w:p w14:paraId="4D063D56" w14:textId="77777777" w:rsidR="00F25718" w:rsidRDefault="00F2571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987FC8B"/>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25CAD"/>
    <w:multiLevelType w:val="hybridMultilevel"/>
    <w:tmpl w:val="5C384BE2"/>
    <w:lvl w:ilvl="0" w:tplc="0416000F">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913990"/>
    <w:multiLevelType w:val="hybridMultilevel"/>
    <w:tmpl w:val="0EE47DE8"/>
    <w:lvl w:ilvl="0" w:tplc="311EA726">
      <w:start w:val="1"/>
      <w:numFmt w:val="upperLetter"/>
      <w:lvlText w:val="(%1)"/>
      <w:lvlJc w:val="left"/>
      <w:pPr>
        <w:ind w:left="1065" w:hanging="7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1B16DFF"/>
    <w:multiLevelType w:val="hybridMultilevel"/>
    <w:tmpl w:val="EE14F502"/>
    <w:lvl w:ilvl="0" w:tplc="508A32E8">
      <w:start w:val="3"/>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0020D6"/>
    <w:multiLevelType w:val="hybridMultilevel"/>
    <w:tmpl w:val="EE14F502"/>
    <w:lvl w:ilvl="0" w:tplc="FFFFFFFF">
      <w:start w:val="3"/>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1663B4"/>
    <w:multiLevelType w:val="hybridMultilevel"/>
    <w:tmpl w:val="E16EFE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C324766"/>
    <w:multiLevelType w:val="hybridMultilevel"/>
    <w:tmpl w:val="E4BA38F6"/>
    <w:lvl w:ilvl="0" w:tplc="8C484CC8">
      <w:start w:val="1"/>
      <w:numFmt w:val="lowerRoman"/>
      <w:lvlText w:val="(%1)"/>
      <w:lvlJc w:val="left"/>
      <w:pPr>
        <w:ind w:left="1080" w:hanging="720"/>
      </w:pPr>
      <w:rPr>
        <w:rFonts w:hint="default"/>
        <w:sz w:val="2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6AC3324"/>
    <w:multiLevelType w:val="hybridMultilevel"/>
    <w:tmpl w:val="4588DE3C"/>
    <w:lvl w:ilvl="0" w:tplc="73389074">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38C467E8"/>
    <w:multiLevelType w:val="hybridMultilevel"/>
    <w:tmpl w:val="EE14F502"/>
    <w:lvl w:ilvl="0" w:tplc="FFFFFFFF">
      <w:start w:val="3"/>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9F0720A"/>
    <w:multiLevelType w:val="hybridMultilevel"/>
    <w:tmpl w:val="4698B99A"/>
    <w:lvl w:ilvl="0" w:tplc="4D5044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B332FCE"/>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59B02DA"/>
    <w:multiLevelType w:val="hybridMultilevel"/>
    <w:tmpl w:val="EE14F502"/>
    <w:lvl w:ilvl="0" w:tplc="FFFFFFFF">
      <w:start w:val="3"/>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EC4217"/>
    <w:multiLevelType w:val="hybridMultilevel"/>
    <w:tmpl w:val="FF9810C6"/>
    <w:lvl w:ilvl="0" w:tplc="20F6E02A">
      <w:start w:val="2"/>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FD01D1E"/>
    <w:multiLevelType w:val="hybridMultilevel"/>
    <w:tmpl w:val="7B1AF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8631AF"/>
    <w:multiLevelType w:val="hybridMultilevel"/>
    <w:tmpl w:val="EE14F502"/>
    <w:lvl w:ilvl="0" w:tplc="FFFFFFFF">
      <w:start w:val="3"/>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24130B6"/>
    <w:multiLevelType w:val="hybridMultilevel"/>
    <w:tmpl w:val="EE14F502"/>
    <w:lvl w:ilvl="0" w:tplc="FFFFFFFF">
      <w:start w:val="3"/>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3DD63A5"/>
    <w:multiLevelType w:val="hybridMultilevel"/>
    <w:tmpl w:val="F7D09AE6"/>
    <w:lvl w:ilvl="0" w:tplc="DA487F38">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F01237"/>
    <w:multiLevelType w:val="hybridMultilevel"/>
    <w:tmpl w:val="EE14F502"/>
    <w:lvl w:ilvl="0" w:tplc="FFFFFFFF">
      <w:start w:val="3"/>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5FCFC7A"/>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8031F77"/>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C1A02D2"/>
    <w:multiLevelType w:val="hybridMultilevel"/>
    <w:tmpl w:val="2C808E44"/>
    <w:lvl w:ilvl="0" w:tplc="632044F0">
      <w:start w:val="1"/>
      <w:numFmt w:val="lowerRoman"/>
      <w:lvlText w:val="(%1)"/>
      <w:lvlJc w:val="left"/>
      <w:pPr>
        <w:ind w:left="1080" w:hanging="72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242921"/>
    <w:multiLevelType w:val="hybridMultilevel"/>
    <w:tmpl w:val="E0E2DA96"/>
    <w:lvl w:ilvl="0" w:tplc="89029230">
      <w:start w:val="1"/>
      <w:numFmt w:val="lowerRoman"/>
      <w:lvlText w:val="(%1)"/>
      <w:lvlJc w:val="left"/>
      <w:pPr>
        <w:ind w:left="1080" w:hanging="720"/>
      </w:pPr>
      <w:rPr>
        <w:rFonts w:ascii="Raleway Light" w:hAnsi="Raleway Light"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34882566">
    <w:abstractNumId w:val="13"/>
  </w:num>
  <w:num w:numId="2" w16cid:durableId="1572733126">
    <w:abstractNumId w:val="1"/>
  </w:num>
  <w:num w:numId="3" w16cid:durableId="1315142921">
    <w:abstractNumId w:val="2"/>
  </w:num>
  <w:num w:numId="4" w16cid:durableId="267853521">
    <w:abstractNumId w:val="16"/>
  </w:num>
  <w:num w:numId="5" w16cid:durableId="1873033307">
    <w:abstractNumId w:val="20"/>
  </w:num>
  <w:num w:numId="6" w16cid:durableId="1249269313">
    <w:abstractNumId w:val="7"/>
  </w:num>
  <w:num w:numId="7" w16cid:durableId="272253071">
    <w:abstractNumId w:val="5"/>
  </w:num>
  <w:num w:numId="8" w16cid:durableId="1251348852">
    <w:abstractNumId w:val="19"/>
  </w:num>
  <w:num w:numId="9" w16cid:durableId="47187599">
    <w:abstractNumId w:val="6"/>
  </w:num>
  <w:num w:numId="10" w16cid:durableId="1824397053">
    <w:abstractNumId w:val="0"/>
  </w:num>
  <w:num w:numId="11" w16cid:durableId="578444349">
    <w:abstractNumId w:val="18"/>
  </w:num>
  <w:num w:numId="12" w16cid:durableId="1714188655">
    <w:abstractNumId w:val="10"/>
  </w:num>
  <w:num w:numId="13" w16cid:durableId="181629556">
    <w:abstractNumId w:val="9"/>
  </w:num>
  <w:num w:numId="14" w16cid:durableId="882984269">
    <w:abstractNumId w:val="12"/>
  </w:num>
  <w:num w:numId="15" w16cid:durableId="342703155">
    <w:abstractNumId w:val="3"/>
  </w:num>
  <w:num w:numId="16" w16cid:durableId="2053993652">
    <w:abstractNumId w:val="17"/>
  </w:num>
  <w:num w:numId="17" w16cid:durableId="38669117">
    <w:abstractNumId w:val="8"/>
  </w:num>
  <w:num w:numId="18" w16cid:durableId="1705858957">
    <w:abstractNumId w:val="4"/>
  </w:num>
  <w:num w:numId="19" w16cid:durableId="1938128806">
    <w:abstractNumId w:val="15"/>
  </w:num>
  <w:num w:numId="20" w16cid:durableId="1045179815">
    <w:abstractNumId w:val="14"/>
  </w:num>
  <w:num w:numId="21" w16cid:durableId="106513151">
    <w:abstractNumId w:val="11"/>
  </w:num>
  <w:num w:numId="22" w16cid:durableId="4124391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7B6"/>
    <w:rsid w:val="000123D2"/>
    <w:rsid w:val="0001649F"/>
    <w:rsid w:val="000352B7"/>
    <w:rsid w:val="00056A47"/>
    <w:rsid w:val="00080D3D"/>
    <w:rsid w:val="00090D45"/>
    <w:rsid w:val="000B407E"/>
    <w:rsid w:val="000C30B6"/>
    <w:rsid w:val="000E0F4E"/>
    <w:rsid w:val="001251EE"/>
    <w:rsid w:val="00131CE0"/>
    <w:rsid w:val="00150E8D"/>
    <w:rsid w:val="001731E6"/>
    <w:rsid w:val="001A38A7"/>
    <w:rsid w:val="001C027A"/>
    <w:rsid w:val="001E6267"/>
    <w:rsid w:val="001F631A"/>
    <w:rsid w:val="00206636"/>
    <w:rsid w:val="00224CEF"/>
    <w:rsid w:val="0026344C"/>
    <w:rsid w:val="0026640E"/>
    <w:rsid w:val="002978C8"/>
    <w:rsid w:val="002A7373"/>
    <w:rsid w:val="002C57B6"/>
    <w:rsid w:val="002D074F"/>
    <w:rsid w:val="002D634F"/>
    <w:rsid w:val="002F3D0E"/>
    <w:rsid w:val="00364DB5"/>
    <w:rsid w:val="00395766"/>
    <w:rsid w:val="003B08BD"/>
    <w:rsid w:val="003C2107"/>
    <w:rsid w:val="004507F2"/>
    <w:rsid w:val="00470F60"/>
    <w:rsid w:val="00474416"/>
    <w:rsid w:val="004755F6"/>
    <w:rsid w:val="004927AA"/>
    <w:rsid w:val="004C362D"/>
    <w:rsid w:val="004D1A0E"/>
    <w:rsid w:val="004E3A7E"/>
    <w:rsid w:val="004E72D2"/>
    <w:rsid w:val="004F63D6"/>
    <w:rsid w:val="0050087B"/>
    <w:rsid w:val="0050619F"/>
    <w:rsid w:val="00515292"/>
    <w:rsid w:val="0054263C"/>
    <w:rsid w:val="00542B84"/>
    <w:rsid w:val="00576FC8"/>
    <w:rsid w:val="00594514"/>
    <w:rsid w:val="00596F05"/>
    <w:rsid w:val="005A2249"/>
    <w:rsid w:val="005B6814"/>
    <w:rsid w:val="005C323B"/>
    <w:rsid w:val="005C5835"/>
    <w:rsid w:val="005F6A53"/>
    <w:rsid w:val="00647CA6"/>
    <w:rsid w:val="00650D46"/>
    <w:rsid w:val="006603DA"/>
    <w:rsid w:val="006808D4"/>
    <w:rsid w:val="00696F42"/>
    <w:rsid w:val="006B087E"/>
    <w:rsid w:val="006F2B91"/>
    <w:rsid w:val="00702771"/>
    <w:rsid w:val="007223CA"/>
    <w:rsid w:val="00733902"/>
    <w:rsid w:val="00742EF9"/>
    <w:rsid w:val="007C40BB"/>
    <w:rsid w:val="007E5AED"/>
    <w:rsid w:val="00812513"/>
    <w:rsid w:val="0085583C"/>
    <w:rsid w:val="0086664B"/>
    <w:rsid w:val="00875424"/>
    <w:rsid w:val="008973D4"/>
    <w:rsid w:val="008E24BF"/>
    <w:rsid w:val="009151C5"/>
    <w:rsid w:val="00950C76"/>
    <w:rsid w:val="009529D5"/>
    <w:rsid w:val="009579A9"/>
    <w:rsid w:val="00966CE9"/>
    <w:rsid w:val="00972D4D"/>
    <w:rsid w:val="00996D3D"/>
    <w:rsid w:val="00997FBC"/>
    <w:rsid w:val="009A4D9B"/>
    <w:rsid w:val="009C1392"/>
    <w:rsid w:val="009C2D5F"/>
    <w:rsid w:val="009D75C4"/>
    <w:rsid w:val="00A00FE3"/>
    <w:rsid w:val="00A11EA4"/>
    <w:rsid w:val="00A146DC"/>
    <w:rsid w:val="00A50DBA"/>
    <w:rsid w:val="00A948DE"/>
    <w:rsid w:val="00A96DFC"/>
    <w:rsid w:val="00AA1C52"/>
    <w:rsid w:val="00AB64F9"/>
    <w:rsid w:val="00AC76F4"/>
    <w:rsid w:val="00AD23E2"/>
    <w:rsid w:val="00AD6D15"/>
    <w:rsid w:val="00AE78EE"/>
    <w:rsid w:val="00B103C3"/>
    <w:rsid w:val="00B10FE3"/>
    <w:rsid w:val="00B33F94"/>
    <w:rsid w:val="00B35602"/>
    <w:rsid w:val="00B63664"/>
    <w:rsid w:val="00B875F5"/>
    <w:rsid w:val="00BC25BC"/>
    <w:rsid w:val="00BC57E4"/>
    <w:rsid w:val="00C174F3"/>
    <w:rsid w:val="00C235DD"/>
    <w:rsid w:val="00C33545"/>
    <w:rsid w:val="00C344EF"/>
    <w:rsid w:val="00C41666"/>
    <w:rsid w:val="00C47A8D"/>
    <w:rsid w:val="00C60F3F"/>
    <w:rsid w:val="00C84935"/>
    <w:rsid w:val="00CA494A"/>
    <w:rsid w:val="00CD30F5"/>
    <w:rsid w:val="00CE5892"/>
    <w:rsid w:val="00D06F51"/>
    <w:rsid w:val="00D104D9"/>
    <w:rsid w:val="00D21E0D"/>
    <w:rsid w:val="00D54850"/>
    <w:rsid w:val="00DB1331"/>
    <w:rsid w:val="00DB361B"/>
    <w:rsid w:val="00DE69CF"/>
    <w:rsid w:val="00DF625A"/>
    <w:rsid w:val="00E02502"/>
    <w:rsid w:val="00E14A0C"/>
    <w:rsid w:val="00E2130C"/>
    <w:rsid w:val="00E31BC3"/>
    <w:rsid w:val="00E535BF"/>
    <w:rsid w:val="00E62A83"/>
    <w:rsid w:val="00E66C48"/>
    <w:rsid w:val="00EB10AD"/>
    <w:rsid w:val="00EC535D"/>
    <w:rsid w:val="00EC5B99"/>
    <w:rsid w:val="00EC6BA9"/>
    <w:rsid w:val="00ED27BE"/>
    <w:rsid w:val="00ED471C"/>
    <w:rsid w:val="00EE62B8"/>
    <w:rsid w:val="00F11BB0"/>
    <w:rsid w:val="00F25718"/>
    <w:rsid w:val="00F26D86"/>
    <w:rsid w:val="00F426D8"/>
    <w:rsid w:val="00F6437E"/>
    <w:rsid w:val="00F7748A"/>
    <w:rsid w:val="00F82442"/>
    <w:rsid w:val="00F911BE"/>
    <w:rsid w:val="00FB4205"/>
    <w:rsid w:val="00FE3144"/>
    <w:rsid w:val="00FF5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343E1"/>
  <w15:chartTrackingRefBased/>
  <w15:docId w15:val="{D7C74211-E718-4048-8F46-35277104A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2C5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973D4"/>
    <w:rPr>
      <w:sz w:val="16"/>
      <w:szCs w:val="16"/>
    </w:rPr>
  </w:style>
  <w:style w:type="paragraph" w:styleId="Textodecomentrio">
    <w:name w:val="annotation text"/>
    <w:basedOn w:val="Normal"/>
    <w:link w:val="TextodecomentrioChar"/>
    <w:uiPriority w:val="99"/>
    <w:unhideWhenUsed/>
    <w:rsid w:val="008973D4"/>
    <w:pPr>
      <w:spacing w:line="240" w:lineRule="auto"/>
    </w:pPr>
    <w:rPr>
      <w:sz w:val="20"/>
      <w:szCs w:val="20"/>
    </w:rPr>
  </w:style>
  <w:style w:type="character" w:customStyle="1" w:styleId="TextodecomentrioChar">
    <w:name w:val="Texto de comentário Char"/>
    <w:basedOn w:val="Fontepargpadro"/>
    <w:link w:val="Textodecomentrio"/>
    <w:uiPriority w:val="99"/>
    <w:rsid w:val="008973D4"/>
    <w:rPr>
      <w:sz w:val="20"/>
      <w:szCs w:val="20"/>
    </w:rPr>
  </w:style>
  <w:style w:type="paragraph" w:styleId="Assuntodocomentrio">
    <w:name w:val="annotation subject"/>
    <w:basedOn w:val="Textodecomentrio"/>
    <w:next w:val="Textodecomentrio"/>
    <w:link w:val="AssuntodocomentrioChar"/>
    <w:uiPriority w:val="99"/>
    <w:semiHidden/>
    <w:unhideWhenUsed/>
    <w:rsid w:val="008973D4"/>
    <w:rPr>
      <w:b/>
      <w:bCs/>
    </w:rPr>
  </w:style>
  <w:style w:type="character" w:customStyle="1" w:styleId="AssuntodocomentrioChar">
    <w:name w:val="Assunto do comentário Char"/>
    <w:basedOn w:val="TextodecomentrioChar"/>
    <w:link w:val="Assuntodocomentrio"/>
    <w:uiPriority w:val="99"/>
    <w:semiHidden/>
    <w:rsid w:val="008973D4"/>
    <w:rPr>
      <w:b/>
      <w:bCs/>
      <w:sz w:val="20"/>
      <w:szCs w:val="20"/>
    </w:rPr>
  </w:style>
  <w:style w:type="paragraph" w:styleId="PargrafodaLista">
    <w:name w:val="List Paragraph"/>
    <w:aliases w:val="Vitor Título,Vitor T’tulo,List Paragraph_0,Capítulo,Vitor T?tulo,Bullet List,FooterText,numbered,Paragraphe de liste1,Bulletr List Paragraph,列出段落,列出段落1,List Paragraph21,Listeafsnit1,Párrafo de lista1,リスト段落1,Bullet list,Bullets 1,Meu"/>
    <w:basedOn w:val="Normal"/>
    <w:link w:val="PargrafodaListaChar"/>
    <w:uiPriority w:val="34"/>
    <w:qFormat/>
    <w:rsid w:val="001C027A"/>
    <w:pPr>
      <w:ind w:left="720"/>
      <w:contextualSpacing/>
    </w:pPr>
  </w:style>
  <w:style w:type="paragraph" w:styleId="Reviso">
    <w:name w:val="Revision"/>
    <w:hidden/>
    <w:uiPriority w:val="99"/>
    <w:semiHidden/>
    <w:rsid w:val="00AA1C52"/>
    <w:pPr>
      <w:spacing w:after="0" w:line="240" w:lineRule="auto"/>
    </w:pPr>
  </w:style>
  <w:style w:type="paragraph" w:styleId="Cabealho">
    <w:name w:val="header"/>
    <w:basedOn w:val="Normal"/>
    <w:link w:val="CabealhoChar1"/>
    <w:uiPriority w:val="99"/>
    <w:rsid w:val="009C2D5F"/>
    <w:pPr>
      <w:tabs>
        <w:tab w:val="center" w:pos="4419"/>
        <w:tab w:val="right" w:pos="8838"/>
      </w:tabs>
      <w:spacing w:after="0" w:line="320" w:lineRule="atLeast"/>
      <w:jc w:val="both"/>
    </w:pPr>
    <w:rPr>
      <w:rFonts w:ascii="Tahoma" w:eastAsia="Times New Roman" w:hAnsi="Tahoma" w:cs="Times New Roman"/>
      <w:sz w:val="24"/>
      <w:szCs w:val="20"/>
      <w:lang w:val="pt-BR" w:eastAsia="pt-BR"/>
    </w:rPr>
  </w:style>
  <w:style w:type="character" w:customStyle="1" w:styleId="CabealhoChar1">
    <w:name w:val="Cabeçalho Char1"/>
    <w:basedOn w:val="Fontepargpadro"/>
    <w:link w:val="Cabealho"/>
    <w:uiPriority w:val="99"/>
    <w:rsid w:val="009C2D5F"/>
    <w:rPr>
      <w:rFonts w:ascii="Tahoma" w:eastAsia="Times New Roman" w:hAnsi="Tahoma" w:cs="Times New Roman"/>
      <w:sz w:val="24"/>
      <w:szCs w:val="20"/>
      <w:lang w:val="pt-BR" w:eastAsia="pt-BR"/>
    </w:rPr>
  </w:style>
  <w:style w:type="character" w:customStyle="1" w:styleId="CabealhoChar">
    <w:name w:val="Cabeçalho Char"/>
    <w:basedOn w:val="Fontepargpadro"/>
    <w:uiPriority w:val="99"/>
    <w:semiHidden/>
    <w:rsid w:val="009C2D5F"/>
    <w:rPr>
      <w:rFonts w:ascii="Tahoma" w:eastAsia="Times New Roman" w:hAnsi="Tahoma" w:cs="Times New Roman"/>
      <w:sz w:val="24"/>
      <w:szCs w:val="20"/>
      <w:lang w:eastAsia="pt-BR"/>
    </w:rPr>
  </w:style>
  <w:style w:type="paragraph" w:styleId="Corpodetexto">
    <w:name w:val="Body Text"/>
    <w:basedOn w:val="Normal"/>
    <w:link w:val="CorpodetextoChar"/>
    <w:rsid w:val="009C2D5F"/>
    <w:pPr>
      <w:spacing w:after="120" w:line="320" w:lineRule="atLeast"/>
      <w:jc w:val="both"/>
    </w:pPr>
    <w:rPr>
      <w:rFonts w:ascii="Tahoma" w:eastAsia="Times New Roman" w:hAnsi="Tahoma" w:cs="Times New Roman"/>
      <w:sz w:val="24"/>
      <w:szCs w:val="20"/>
      <w:lang w:val="pt-BR" w:eastAsia="pt-BR"/>
    </w:rPr>
  </w:style>
  <w:style w:type="character" w:customStyle="1" w:styleId="CorpodetextoChar">
    <w:name w:val="Corpo de texto Char"/>
    <w:basedOn w:val="Fontepargpadro"/>
    <w:link w:val="Corpodetexto"/>
    <w:rsid w:val="009C2D5F"/>
    <w:rPr>
      <w:rFonts w:ascii="Tahoma" w:eastAsia="Times New Roman" w:hAnsi="Tahoma" w:cs="Times New Roman"/>
      <w:sz w:val="24"/>
      <w:szCs w:val="20"/>
      <w:lang w:val="pt-BR" w:eastAsia="pt-BR"/>
    </w:rPr>
  </w:style>
  <w:style w:type="paragraph" w:customStyle="1" w:styleId="Default">
    <w:name w:val="Default"/>
    <w:rsid w:val="009C2D5F"/>
    <w:pPr>
      <w:autoSpaceDE w:val="0"/>
      <w:autoSpaceDN w:val="0"/>
      <w:adjustRightInd w:val="0"/>
      <w:spacing w:after="0" w:line="240" w:lineRule="auto"/>
    </w:pPr>
    <w:rPr>
      <w:rFonts w:ascii="Garamond" w:eastAsia="Times New Roman" w:hAnsi="Garamond" w:cs="Garamond"/>
      <w:color w:val="000000"/>
      <w:sz w:val="24"/>
      <w:szCs w:val="24"/>
      <w:lang w:val="pt-BR" w:eastAsia="pt-BR"/>
    </w:rPr>
  </w:style>
  <w:style w:type="paragraph" w:styleId="Rodap">
    <w:name w:val="footer"/>
    <w:basedOn w:val="Normal"/>
    <w:link w:val="RodapChar"/>
    <w:uiPriority w:val="99"/>
    <w:unhideWhenUsed/>
    <w:rsid w:val="009C2D5F"/>
    <w:pPr>
      <w:tabs>
        <w:tab w:val="center" w:pos="4252"/>
        <w:tab w:val="right" w:pos="8504"/>
      </w:tabs>
      <w:spacing w:after="0" w:line="240" w:lineRule="auto"/>
      <w:jc w:val="both"/>
    </w:pPr>
    <w:rPr>
      <w:rFonts w:ascii="Tahoma" w:eastAsia="Times New Roman" w:hAnsi="Tahoma" w:cs="Times New Roman"/>
      <w:sz w:val="24"/>
      <w:szCs w:val="20"/>
      <w:lang w:val="pt-BR" w:eastAsia="pt-BR"/>
    </w:rPr>
  </w:style>
  <w:style w:type="character" w:customStyle="1" w:styleId="RodapChar">
    <w:name w:val="Rodapé Char"/>
    <w:basedOn w:val="Fontepargpadro"/>
    <w:link w:val="Rodap"/>
    <w:uiPriority w:val="99"/>
    <w:rsid w:val="009C2D5F"/>
    <w:rPr>
      <w:rFonts w:ascii="Tahoma" w:eastAsia="Times New Roman" w:hAnsi="Tahoma" w:cs="Times New Roman"/>
      <w:sz w:val="24"/>
      <w:szCs w:val="20"/>
      <w:lang w:val="pt-BR" w:eastAsia="pt-BR"/>
    </w:rPr>
  </w:style>
  <w:style w:type="paragraph" w:styleId="Textodebalo">
    <w:name w:val="Balloon Text"/>
    <w:basedOn w:val="Normal"/>
    <w:link w:val="TextodebaloChar"/>
    <w:uiPriority w:val="99"/>
    <w:semiHidden/>
    <w:unhideWhenUsed/>
    <w:rsid w:val="009C2D5F"/>
    <w:pPr>
      <w:spacing w:after="0" w:line="240" w:lineRule="auto"/>
      <w:jc w:val="both"/>
    </w:pPr>
    <w:rPr>
      <w:rFonts w:ascii="Tahoma" w:eastAsia="Times New Roman" w:hAnsi="Tahoma" w:cs="Tahoma"/>
      <w:sz w:val="16"/>
      <w:szCs w:val="16"/>
      <w:lang w:val="pt-BR" w:eastAsia="pt-BR"/>
    </w:rPr>
  </w:style>
  <w:style w:type="character" w:customStyle="1" w:styleId="TextodebaloChar">
    <w:name w:val="Texto de balão Char"/>
    <w:basedOn w:val="Fontepargpadro"/>
    <w:link w:val="Textodebalo"/>
    <w:uiPriority w:val="99"/>
    <w:semiHidden/>
    <w:rsid w:val="009C2D5F"/>
    <w:rPr>
      <w:rFonts w:ascii="Tahoma" w:eastAsia="Times New Roman" w:hAnsi="Tahoma" w:cs="Tahoma"/>
      <w:sz w:val="16"/>
      <w:szCs w:val="16"/>
      <w:lang w:val="pt-BR" w:eastAsia="pt-BR"/>
    </w:rPr>
  </w:style>
  <w:style w:type="numbering" w:customStyle="1" w:styleId="Semlista1">
    <w:name w:val="Sem lista1"/>
    <w:next w:val="Semlista"/>
    <w:uiPriority w:val="99"/>
    <w:semiHidden/>
    <w:unhideWhenUsed/>
    <w:rsid w:val="009C2D5F"/>
  </w:style>
  <w:style w:type="character" w:styleId="Hyperlink">
    <w:name w:val="Hyperlink"/>
    <w:basedOn w:val="Fontepargpadro"/>
    <w:uiPriority w:val="99"/>
    <w:unhideWhenUsed/>
    <w:rsid w:val="009C2D5F"/>
    <w:rPr>
      <w:color w:val="0563C1"/>
      <w:u w:val="single"/>
    </w:rPr>
  </w:style>
  <w:style w:type="character" w:styleId="HiperlinkVisitado">
    <w:name w:val="FollowedHyperlink"/>
    <w:basedOn w:val="Fontepargpadro"/>
    <w:uiPriority w:val="99"/>
    <w:semiHidden/>
    <w:unhideWhenUsed/>
    <w:rsid w:val="009C2D5F"/>
    <w:rPr>
      <w:color w:val="954F72"/>
      <w:u w:val="single"/>
    </w:rPr>
  </w:style>
  <w:style w:type="paragraph" w:customStyle="1" w:styleId="msonormal0">
    <w:name w:val="msonormal"/>
    <w:basedOn w:val="Normal"/>
    <w:rsid w:val="009C2D5F"/>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paragraph" w:customStyle="1" w:styleId="xl65">
    <w:name w:val="xl65"/>
    <w:basedOn w:val="Normal"/>
    <w:rsid w:val="009C2D5F"/>
    <w:pPr>
      <w:shd w:val="clear" w:color="000000" w:fill="4472C4"/>
      <w:spacing w:before="100" w:beforeAutospacing="1" w:after="100" w:afterAutospacing="1" w:line="240" w:lineRule="auto"/>
      <w:jc w:val="center"/>
    </w:pPr>
    <w:rPr>
      <w:rFonts w:ascii="Times New Roman" w:eastAsia="Times New Roman" w:hAnsi="Times New Roman" w:cs="Times New Roman"/>
      <w:color w:val="FFFFFF"/>
      <w:sz w:val="24"/>
      <w:szCs w:val="24"/>
      <w:lang w:val="pt-BR" w:eastAsia="pt-BR"/>
    </w:rPr>
  </w:style>
  <w:style w:type="paragraph" w:customStyle="1" w:styleId="xl68">
    <w:name w:val="xl68"/>
    <w:basedOn w:val="Normal"/>
    <w:rsid w:val="009C2D5F"/>
    <w:pPr>
      <w:shd w:val="clear" w:color="000000" w:fill="4472C4"/>
      <w:spacing w:before="100" w:beforeAutospacing="1" w:after="100" w:afterAutospacing="1" w:line="240" w:lineRule="auto"/>
      <w:jc w:val="center"/>
    </w:pPr>
    <w:rPr>
      <w:rFonts w:ascii="Times New Roman" w:eastAsia="Times New Roman" w:hAnsi="Times New Roman" w:cs="Times New Roman"/>
      <w:color w:val="FFFFFF"/>
      <w:sz w:val="24"/>
      <w:szCs w:val="24"/>
      <w:lang w:val="pt-BR" w:eastAsia="pt-BR"/>
    </w:rPr>
  </w:style>
  <w:style w:type="paragraph" w:customStyle="1" w:styleId="xl73">
    <w:name w:val="xl73"/>
    <w:basedOn w:val="Normal"/>
    <w:rsid w:val="009C2D5F"/>
    <w:pPr>
      <w:shd w:val="clear" w:color="000000" w:fill="4472C4"/>
      <w:spacing w:before="100" w:beforeAutospacing="1" w:after="100" w:afterAutospacing="1" w:line="240" w:lineRule="auto"/>
      <w:jc w:val="center"/>
    </w:pPr>
    <w:rPr>
      <w:rFonts w:ascii="Times New Roman" w:eastAsia="Times New Roman" w:hAnsi="Times New Roman" w:cs="Times New Roman"/>
      <w:color w:val="FFFFFF"/>
      <w:sz w:val="24"/>
      <w:szCs w:val="24"/>
      <w:lang w:val="pt-BR" w:eastAsia="pt-BR"/>
    </w:rPr>
  </w:style>
  <w:style w:type="paragraph" w:customStyle="1" w:styleId="xl76">
    <w:name w:val="xl76"/>
    <w:basedOn w:val="Normal"/>
    <w:rsid w:val="009C2D5F"/>
    <w:pPr>
      <w:shd w:val="clear" w:color="000000" w:fill="4472C4"/>
      <w:spacing w:before="100" w:beforeAutospacing="1" w:after="100" w:afterAutospacing="1" w:line="240" w:lineRule="auto"/>
      <w:jc w:val="center"/>
    </w:pPr>
    <w:rPr>
      <w:rFonts w:ascii="Times New Roman" w:eastAsia="Times New Roman" w:hAnsi="Times New Roman" w:cs="Times New Roman"/>
      <w:color w:val="FFFFFF"/>
      <w:sz w:val="24"/>
      <w:szCs w:val="24"/>
      <w:lang w:val="pt-BR" w:eastAsia="pt-BR"/>
    </w:rPr>
  </w:style>
  <w:style w:type="paragraph" w:customStyle="1" w:styleId="xl66">
    <w:name w:val="xl66"/>
    <w:basedOn w:val="Normal"/>
    <w:rsid w:val="009C2D5F"/>
    <w:pPr>
      <w:spacing w:before="100" w:beforeAutospacing="1" w:after="100" w:afterAutospacing="1" w:line="240" w:lineRule="auto"/>
      <w:jc w:val="center"/>
    </w:pPr>
    <w:rPr>
      <w:rFonts w:ascii="Times New Roman" w:eastAsia="Times New Roman" w:hAnsi="Times New Roman" w:cs="Times New Roman"/>
      <w:sz w:val="16"/>
      <w:szCs w:val="16"/>
      <w:lang w:val="pt-BR" w:eastAsia="pt-BR"/>
    </w:rPr>
  </w:style>
  <w:style w:type="paragraph" w:customStyle="1" w:styleId="xl67">
    <w:name w:val="xl67"/>
    <w:basedOn w:val="Normal"/>
    <w:rsid w:val="009C2D5F"/>
    <w:pPr>
      <w:spacing w:before="100" w:beforeAutospacing="1" w:after="100" w:afterAutospacing="1" w:line="240" w:lineRule="auto"/>
    </w:pPr>
    <w:rPr>
      <w:rFonts w:ascii="Times New Roman" w:eastAsia="Times New Roman" w:hAnsi="Times New Roman" w:cs="Times New Roman"/>
      <w:sz w:val="16"/>
      <w:szCs w:val="16"/>
      <w:lang w:val="pt-BR" w:eastAsia="pt-BR"/>
    </w:rPr>
  </w:style>
  <w:style w:type="paragraph" w:customStyle="1" w:styleId="xl69">
    <w:name w:val="xl69"/>
    <w:basedOn w:val="Normal"/>
    <w:rsid w:val="009C2D5F"/>
    <w:pPr>
      <w:spacing w:before="100" w:beforeAutospacing="1" w:after="100" w:afterAutospacing="1" w:line="240" w:lineRule="auto"/>
    </w:pPr>
    <w:rPr>
      <w:rFonts w:ascii="Times New Roman" w:eastAsia="Times New Roman" w:hAnsi="Times New Roman" w:cs="Times New Roman"/>
      <w:sz w:val="16"/>
      <w:szCs w:val="16"/>
      <w:lang w:val="pt-BR" w:eastAsia="pt-BR"/>
    </w:rPr>
  </w:style>
  <w:style w:type="paragraph" w:customStyle="1" w:styleId="xl70">
    <w:name w:val="xl70"/>
    <w:basedOn w:val="Normal"/>
    <w:rsid w:val="009C2D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pt-BR" w:eastAsia="pt-BR"/>
    </w:rPr>
  </w:style>
  <w:style w:type="paragraph" w:customStyle="1" w:styleId="xl71">
    <w:name w:val="xl71"/>
    <w:basedOn w:val="Normal"/>
    <w:rsid w:val="009C2D5F"/>
    <w:pPr>
      <w:pBdr>
        <w:top w:val="single" w:sz="4" w:space="0" w:color="A9D08E"/>
        <w:bottom w:val="single" w:sz="4" w:space="0" w:color="A9D08E"/>
      </w:pBdr>
      <w:shd w:val="clear" w:color="E2EFDA" w:fill="FFFF00"/>
      <w:spacing w:before="100" w:beforeAutospacing="1" w:after="100" w:afterAutospacing="1" w:line="240" w:lineRule="auto"/>
    </w:pPr>
    <w:rPr>
      <w:rFonts w:ascii="Times New Roman" w:eastAsia="Times New Roman" w:hAnsi="Times New Roman" w:cs="Times New Roman"/>
      <w:sz w:val="24"/>
      <w:szCs w:val="24"/>
      <w:lang w:val="pt-BR" w:eastAsia="pt-BR"/>
    </w:rPr>
  </w:style>
  <w:style w:type="paragraph" w:customStyle="1" w:styleId="xl72">
    <w:name w:val="xl72"/>
    <w:basedOn w:val="Normal"/>
    <w:rsid w:val="009C2D5F"/>
    <w:pPr>
      <w:pBdr>
        <w:top w:val="single" w:sz="4" w:space="0" w:color="A9D08E"/>
        <w:bottom w:val="single" w:sz="4" w:space="0" w:color="A9D08E"/>
      </w:pBdr>
      <w:shd w:val="clear" w:color="000000" w:fill="FFFF00"/>
      <w:spacing w:before="100" w:beforeAutospacing="1" w:after="100" w:afterAutospacing="1" w:line="240" w:lineRule="auto"/>
    </w:pPr>
    <w:rPr>
      <w:rFonts w:ascii="Times New Roman" w:eastAsia="Times New Roman" w:hAnsi="Times New Roman" w:cs="Times New Roman"/>
      <w:sz w:val="24"/>
      <w:szCs w:val="24"/>
      <w:lang w:val="pt-BR" w:eastAsia="pt-BR"/>
    </w:rPr>
  </w:style>
  <w:style w:type="paragraph" w:customStyle="1" w:styleId="xl74">
    <w:name w:val="xl74"/>
    <w:basedOn w:val="Normal"/>
    <w:rsid w:val="009C2D5F"/>
    <w:pPr>
      <w:shd w:val="clear" w:color="E2EFDA" w:fill="FFFF00"/>
      <w:spacing w:before="100" w:beforeAutospacing="1" w:after="100" w:afterAutospacing="1" w:line="240" w:lineRule="auto"/>
    </w:pPr>
    <w:rPr>
      <w:rFonts w:ascii="Times New Roman" w:eastAsia="Times New Roman" w:hAnsi="Times New Roman" w:cs="Times New Roman"/>
      <w:sz w:val="24"/>
      <w:szCs w:val="24"/>
      <w:lang w:val="pt-BR" w:eastAsia="pt-BR"/>
    </w:rPr>
  </w:style>
  <w:style w:type="paragraph" w:customStyle="1" w:styleId="xl75">
    <w:name w:val="xl75"/>
    <w:basedOn w:val="Normal"/>
    <w:rsid w:val="009C2D5F"/>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pt-BR" w:eastAsia="pt-BR"/>
    </w:rPr>
  </w:style>
  <w:style w:type="paragraph" w:customStyle="1" w:styleId="xl77">
    <w:name w:val="xl77"/>
    <w:basedOn w:val="Normal"/>
    <w:rsid w:val="009C2D5F"/>
    <w:pP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16"/>
      <w:szCs w:val="16"/>
      <w:lang w:val="pt-BR" w:eastAsia="pt-BR"/>
    </w:rPr>
  </w:style>
  <w:style w:type="paragraph" w:customStyle="1" w:styleId="xl78">
    <w:name w:val="xl78"/>
    <w:basedOn w:val="Normal"/>
    <w:rsid w:val="009C2D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6"/>
      <w:szCs w:val="16"/>
      <w:lang w:val="pt-BR" w:eastAsia="pt-BR"/>
    </w:rPr>
  </w:style>
  <w:style w:type="paragraph" w:customStyle="1" w:styleId="xl79">
    <w:name w:val="xl79"/>
    <w:basedOn w:val="Normal"/>
    <w:rsid w:val="009C2D5F"/>
    <w:pPr>
      <w:pBdr>
        <w:top w:val="single" w:sz="4" w:space="0" w:color="A9D08E"/>
        <w:bottom w:val="single" w:sz="4" w:space="0" w:color="A9D08E"/>
      </w:pBdr>
      <w:shd w:val="clear" w:color="000000" w:fill="FFFF00"/>
      <w:spacing w:before="100" w:beforeAutospacing="1" w:after="100" w:afterAutospacing="1" w:line="240" w:lineRule="auto"/>
      <w:jc w:val="center"/>
    </w:pPr>
    <w:rPr>
      <w:rFonts w:ascii="Times New Roman" w:eastAsia="Times New Roman" w:hAnsi="Times New Roman" w:cs="Times New Roman"/>
      <w:sz w:val="16"/>
      <w:szCs w:val="16"/>
      <w:lang w:val="pt-BR" w:eastAsia="pt-BR"/>
    </w:rPr>
  </w:style>
  <w:style w:type="paragraph" w:customStyle="1" w:styleId="xl80">
    <w:name w:val="xl80"/>
    <w:basedOn w:val="Normal"/>
    <w:rsid w:val="009C2D5F"/>
    <w:pPr>
      <w:shd w:val="clear" w:color="000000" w:fill="FFFF00"/>
      <w:spacing w:before="100" w:beforeAutospacing="1" w:after="100" w:afterAutospacing="1" w:line="240" w:lineRule="auto"/>
    </w:pPr>
    <w:rPr>
      <w:rFonts w:ascii="Times New Roman" w:eastAsia="Times New Roman" w:hAnsi="Times New Roman" w:cs="Times New Roman"/>
      <w:b/>
      <w:bCs/>
      <w:sz w:val="16"/>
      <w:szCs w:val="16"/>
      <w:lang w:val="pt-BR" w:eastAsia="pt-BR"/>
    </w:rPr>
  </w:style>
  <w:style w:type="paragraph" w:customStyle="1" w:styleId="xl81">
    <w:name w:val="xl81"/>
    <w:basedOn w:val="Normal"/>
    <w:rsid w:val="009C2D5F"/>
    <w:pPr>
      <w:shd w:val="clear" w:color="000000" w:fill="FFFF00"/>
      <w:spacing w:before="100" w:beforeAutospacing="1" w:after="100" w:afterAutospacing="1" w:line="240" w:lineRule="auto"/>
      <w:jc w:val="center"/>
    </w:pPr>
    <w:rPr>
      <w:rFonts w:ascii="Times New Roman" w:eastAsia="Times New Roman" w:hAnsi="Times New Roman" w:cs="Times New Roman"/>
      <w:sz w:val="16"/>
      <w:szCs w:val="16"/>
      <w:lang w:val="pt-BR" w:eastAsia="pt-BR"/>
    </w:rPr>
  </w:style>
  <w:style w:type="paragraph" w:customStyle="1" w:styleId="xl82">
    <w:name w:val="xl82"/>
    <w:basedOn w:val="Normal"/>
    <w:rsid w:val="009C2D5F"/>
    <w:pPr>
      <w:shd w:val="clear" w:color="000000" w:fill="FFFF00"/>
      <w:spacing w:before="100" w:beforeAutospacing="1" w:after="100" w:afterAutospacing="1" w:line="240" w:lineRule="auto"/>
    </w:pPr>
    <w:rPr>
      <w:rFonts w:ascii="Times New Roman" w:eastAsia="Times New Roman" w:hAnsi="Times New Roman" w:cs="Times New Roman"/>
      <w:sz w:val="16"/>
      <w:szCs w:val="16"/>
      <w:lang w:val="pt-BR" w:eastAsia="pt-BR"/>
    </w:rPr>
  </w:style>
  <w:style w:type="numbering" w:customStyle="1" w:styleId="NoList1">
    <w:name w:val="No List1"/>
    <w:next w:val="Semlista"/>
    <w:uiPriority w:val="99"/>
    <w:semiHidden/>
    <w:unhideWhenUsed/>
    <w:rsid w:val="009C2D5F"/>
  </w:style>
  <w:style w:type="numbering" w:customStyle="1" w:styleId="NoList2">
    <w:name w:val="No List2"/>
    <w:next w:val="Semlista"/>
    <w:uiPriority w:val="99"/>
    <w:semiHidden/>
    <w:unhideWhenUsed/>
    <w:rsid w:val="009C2D5F"/>
  </w:style>
  <w:style w:type="character" w:customStyle="1" w:styleId="PargrafodaListaChar">
    <w:name w:val="Parágrafo da Lista Char"/>
    <w:aliases w:val="Vitor Título Char,Vitor T’tulo Char,List Paragraph_0 Char,Capítulo Char,Vitor T?tulo Char,Bullet List Char,FooterText Char,numbered Char,Paragraphe de liste1 Char,Bulletr List Paragraph Char,列出段落 Char,列出段落1 Char,Listeafsnit1 Char"/>
    <w:link w:val="PargrafodaLista"/>
    <w:uiPriority w:val="34"/>
    <w:qFormat/>
    <w:rsid w:val="002F3D0E"/>
  </w:style>
  <w:style w:type="character" w:styleId="MenoPendente">
    <w:name w:val="Unresolved Mention"/>
    <w:basedOn w:val="Fontepargpadro"/>
    <w:uiPriority w:val="99"/>
    <w:semiHidden/>
    <w:unhideWhenUsed/>
    <w:rsid w:val="00CD3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juridico@canalsecuritizadora.com.br"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73ba94-0c0e-46e8-b3a4-aefe41146f5c" xsi:nil="true"/>
    <lcf76f155ced4ddcb4097134ff3c332f xmlns="5cf7bc02-d943-43c5-88ad-c34f3aeabd6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8DBD241959A8B49B084DFC1376C82BE" ma:contentTypeVersion="18" ma:contentTypeDescription="Criar um novo documento." ma:contentTypeScope="" ma:versionID="1cbf3b2318b7d7737363db9e1b7ce890">
  <xsd:schema xmlns:xsd="http://www.w3.org/2001/XMLSchema" xmlns:xs="http://www.w3.org/2001/XMLSchema" xmlns:p="http://schemas.microsoft.com/office/2006/metadata/properties" xmlns:ns2="5cf7bc02-d943-43c5-88ad-c34f3aeabd6b" xmlns:ns3="f573ba94-0c0e-46e8-b3a4-aefe41146f5c" targetNamespace="http://schemas.microsoft.com/office/2006/metadata/properties" ma:root="true" ma:fieldsID="f9edd2f7ec8ec36401b69a0110038df5" ns2:_="" ns3:_="">
    <xsd:import namespace="5cf7bc02-d943-43c5-88ad-c34f3aeabd6b"/>
    <xsd:import namespace="f573ba94-0c0e-46e8-b3a4-aefe41146f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7bc02-d943-43c5-88ad-c34f3aeabd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m" ma:readOnly="false" ma:fieldId="{5cf76f15-5ced-4ddc-b409-7134ff3c332f}" ma:taxonomyMulti="true" ma:sspId="e89c2d97-2204-4d65-a3a0-55dd26cb8e8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73ba94-0c0e-46e8-b3a4-aefe41146f5c" elementFormDefault="qualified">
    <xsd:import namespace="http://schemas.microsoft.com/office/2006/documentManagement/types"/>
    <xsd:import namespace="http://schemas.microsoft.com/office/infopath/2007/PartnerControls"/>
    <xsd:element name="SharedWithUsers" ma:index="16"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Partilhado Com" ma:internalName="SharedWithDetails" ma:readOnly="true">
      <xsd:simpleType>
        <xsd:restriction base="dms:Note">
          <xsd:maxLength value="255"/>
        </xsd:restriction>
      </xsd:simpleType>
    </xsd:element>
    <xsd:element name="TaxCatchAll" ma:index="21" nillable="true" ma:displayName="Taxonomy Catch All Column" ma:hidden="true" ma:list="{fb575634-53d3-448c-ab84-ee80e909d978}" ma:internalName="TaxCatchAll" ma:showField="CatchAllData" ma:web="f573ba94-0c0e-46e8-b3a4-aefe41146f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1BE098-E542-4C90-8DFF-74CB973F99A0}">
  <ds:schemaRefs>
    <ds:schemaRef ds:uri="http://schemas.microsoft.com/office/2006/metadata/properties"/>
    <ds:schemaRef ds:uri="http://schemas.microsoft.com/office/infopath/2007/PartnerControls"/>
    <ds:schemaRef ds:uri="f573ba94-0c0e-46e8-b3a4-aefe41146f5c"/>
    <ds:schemaRef ds:uri="5cf7bc02-d943-43c5-88ad-c34f3aeabd6b"/>
  </ds:schemaRefs>
</ds:datastoreItem>
</file>

<file path=customXml/itemProps2.xml><?xml version="1.0" encoding="utf-8"?>
<ds:datastoreItem xmlns:ds="http://schemas.openxmlformats.org/officeDocument/2006/customXml" ds:itemID="{5A344DEB-84B9-463C-843C-F22ED1B6EFE1}">
  <ds:schemaRefs>
    <ds:schemaRef ds:uri="http://schemas.microsoft.com/sharepoint/v3/contenttype/forms"/>
  </ds:schemaRefs>
</ds:datastoreItem>
</file>

<file path=customXml/itemProps3.xml><?xml version="1.0" encoding="utf-8"?>
<ds:datastoreItem xmlns:ds="http://schemas.openxmlformats.org/officeDocument/2006/customXml" ds:itemID="{45FBC4E4-7044-435F-9AA7-5BF9D35583DF}"/>
</file>

<file path=docProps/app.xml><?xml version="1.0" encoding="utf-8"?>
<Properties xmlns="http://schemas.openxmlformats.org/officeDocument/2006/extended-properties" xmlns:vt="http://schemas.openxmlformats.org/officeDocument/2006/docPropsVTypes">
  <Template>Normal</Template>
  <TotalTime>72</TotalTime>
  <Pages>4</Pages>
  <Words>1459</Words>
  <Characters>7884</Characters>
  <Application>Microsoft Office Word</Application>
  <DocSecurity>0</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Fonte</dc:creator>
  <cp:keywords/>
  <dc:description/>
  <cp:lastModifiedBy>Enrico Evangelista</cp:lastModifiedBy>
  <cp:revision>48</cp:revision>
  <dcterms:created xsi:type="dcterms:W3CDTF">2024-01-17T19:48:00Z</dcterms:created>
  <dcterms:modified xsi:type="dcterms:W3CDTF">2024-09-25T14:28:00Z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0x010100E8DBD241959A8B49B084DFC1376C82BE</vt:lpwstr>
  </property>
  <property fmtid="{D5CDD505-2E9C-101B-9397-08002B2CF9AE}" pid="3" name="MediaServiceImageTags">
    <vt:lpwstr/>
  </property>
</Properties>
</file>